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785BD" w14:textId="77777777" w:rsidR="000353B1" w:rsidRDefault="00B84A77">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heading=h.3o7alnk" w:colFirst="0" w:colLast="0"/>
      <w:bookmarkEnd w:id="0"/>
      <w:r>
        <w:rPr>
          <w:rFonts w:ascii="Arial" w:eastAsia="Arial" w:hAnsi="Arial"/>
          <w:b/>
          <w:color w:val="000000"/>
          <w:sz w:val="36"/>
          <w:szCs w:val="36"/>
        </w:rPr>
        <w:t>Joint Schedule 7 (Financial Difficulties)</w:t>
      </w:r>
    </w:p>
    <w:p w14:paraId="3EE279AE" w14:textId="77777777" w:rsidR="000353B1" w:rsidRDefault="000353B1">
      <w:pPr>
        <w:keepNext/>
        <w:pBdr>
          <w:top w:val="nil"/>
          <w:left w:val="nil"/>
          <w:bottom w:val="nil"/>
          <w:right w:val="nil"/>
          <w:between w:val="nil"/>
        </w:pBdr>
        <w:jc w:val="left"/>
        <w:rPr>
          <w:rFonts w:ascii="Arial" w:eastAsia="Arial" w:hAnsi="Arial"/>
          <w:b/>
          <w:smallCaps/>
          <w:color w:val="000000"/>
          <w:sz w:val="36"/>
          <w:szCs w:val="36"/>
        </w:rPr>
      </w:pPr>
    </w:p>
    <w:p w14:paraId="1162CFC5" w14:textId="77777777" w:rsidR="000353B1" w:rsidRDefault="00B84A77" w:rsidP="002F37AB">
      <w:pPr>
        <w:keepNext/>
        <w:numPr>
          <w:ilvl w:val="0"/>
          <w:numId w:val="2"/>
        </w:numPr>
        <w:pBdr>
          <w:top w:val="nil"/>
          <w:left w:val="nil"/>
          <w:bottom w:val="nil"/>
          <w:right w:val="nil"/>
          <w:between w:val="nil"/>
        </w:pBdr>
        <w:tabs>
          <w:tab w:val="left" w:pos="0"/>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Definitions</w:t>
      </w:r>
    </w:p>
    <w:p w14:paraId="16C97DF4" w14:textId="77777777" w:rsidR="000353B1" w:rsidRDefault="00B84A77" w:rsidP="002F37AB">
      <w:pPr>
        <w:numPr>
          <w:ilvl w:val="1"/>
          <w:numId w:val="2"/>
        </w:numPr>
        <w:pBdr>
          <w:top w:val="nil"/>
          <w:left w:val="nil"/>
          <w:bottom w:val="nil"/>
          <w:right w:val="nil"/>
          <w:between w:val="nil"/>
        </w:pBdr>
        <w:tabs>
          <w:tab w:val="left" w:pos="567"/>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14:paraId="4AF1B4C2" w14:textId="77777777" w:rsidR="000353B1" w:rsidRDefault="000353B1">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ff2"/>
        <w:tblW w:w="865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910"/>
        <w:gridCol w:w="5745"/>
      </w:tblGrid>
      <w:tr w:rsidR="000353B1" w14:paraId="044701DF" w14:textId="77777777">
        <w:trPr>
          <w:trHeight w:val="1740"/>
        </w:trPr>
        <w:tc>
          <w:tcPr>
            <w:tcW w:w="2910" w:type="dxa"/>
            <w:tcBorders>
              <w:top w:val="single" w:sz="4" w:space="0" w:color="000000"/>
              <w:left w:val="single" w:sz="4" w:space="0" w:color="000000"/>
              <w:bottom w:val="single" w:sz="4" w:space="0" w:color="000000"/>
              <w:right w:val="single" w:sz="4" w:space="0" w:color="000000"/>
            </w:tcBorders>
          </w:tcPr>
          <w:p w14:paraId="35B05C61"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“Applicable Financial Indicators”</w:t>
            </w:r>
          </w:p>
        </w:tc>
        <w:tc>
          <w:tcPr>
            <w:tcW w:w="5745" w:type="dxa"/>
            <w:tcBorders>
              <w:top w:val="single" w:sz="4" w:space="0" w:color="000000"/>
              <w:left w:val="single" w:sz="4" w:space="0" w:color="000000"/>
              <w:bottom w:val="single" w:sz="4" w:space="0" w:color="000000"/>
              <w:right w:val="single" w:sz="4" w:space="0" w:color="000000"/>
            </w:tcBorders>
          </w:tcPr>
          <w:p w14:paraId="49D4D047" w14:textId="77777777" w:rsidR="000353B1" w:rsidRDefault="00B84A77">
            <w:pPr>
              <w:keepNext/>
              <w:pBdr>
                <w:top w:val="nil"/>
                <w:left w:val="nil"/>
                <w:bottom w:val="nil"/>
                <w:right w:val="nil"/>
                <w:between w:val="nil"/>
              </w:pBdr>
              <w:ind w:right="-22"/>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0353B1" w14:paraId="3CEFDFEE" w14:textId="77777777">
        <w:tc>
          <w:tcPr>
            <w:tcW w:w="2910" w:type="dxa"/>
            <w:tcBorders>
              <w:top w:val="single" w:sz="4" w:space="0" w:color="000000"/>
              <w:left w:val="single" w:sz="4" w:space="0" w:color="000000"/>
              <w:bottom w:val="single" w:sz="4" w:space="0" w:color="000000"/>
              <w:right w:val="single" w:sz="4" w:space="0" w:color="000000"/>
            </w:tcBorders>
          </w:tcPr>
          <w:p w14:paraId="331F85D4"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“Board”</w:t>
            </w:r>
          </w:p>
        </w:tc>
        <w:tc>
          <w:tcPr>
            <w:tcW w:w="5745" w:type="dxa"/>
            <w:tcBorders>
              <w:top w:val="single" w:sz="4" w:space="0" w:color="000000"/>
              <w:left w:val="single" w:sz="4" w:space="0" w:color="000000"/>
              <w:bottom w:val="single" w:sz="4" w:space="0" w:color="000000"/>
              <w:right w:val="single" w:sz="4" w:space="0" w:color="000000"/>
            </w:tcBorders>
          </w:tcPr>
          <w:p w14:paraId="5B5DEA3C"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0353B1" w14:paraId="034724D2" w14:textId="77777777">
        <w:tc>
          <w:tcPr>
            <w:tcW w:w="2910" w:type="dxa"/>
            <w:tcBorders>
              <w:top w:val="single" w:sz="4" w:space="0" w:color="000000"/>
              <w:left w:val="single" w:sz="4" w:space="0" w:color="000000"/>
              <w:bottom w:val="single" w:sz="4" w:space="0" w:color="000000"/>
              <w:right w:val="single" w:sz="4" w:space="0" w:color="000000"/>
            </w:tcBorders>
          </w:tcPr>
          <w:p w14:paraId="596E8906"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“Board Confirmation”</w:t>
            </w:r>
          </w:p>
        </w:tc>
        <w:tc>
          <w:tcPr>
            <w:tcW w:w="5745" w:type="dxa"/>
            <w:tcBorders>
              <w:top w:val="single" w:sz="4" w:space="0" w:color="000000"/>
              <w:left w:val="single" w:sz="4" w:space="0" w:color="000000"/>
              <w:bottom w:val="single" w:sz="4" w:space="0" w:color="000000"/>
              <w:right w:val="single" w:sz="4" w:space="0" w:color="000000"/>
            </w:tcBorders>
          </w:tcPr>
          <w:p w14:paraId="008B83AD"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0353B1" w14:paraId="5A4AEB52" w14:textId="77777777">
        <w:tc>
          <w:tcPr>
            <w:tcW w:w="2910" w:type="dxa"/>
            <w:tcBorders>
              <w:top w:val="single" w:sz="4" w:space="0" w:color="000000"/>
              <w:left w:val="single" w:sz="4" w:space="0" w:color="000000"/>
              <w:bottom w:val="single" w:sz="4" w:space="0" w:color="000000"/>
              <w:right w:val="single" w:sz="4" w:space="0" w:color="000000"/>
            </w:tcBorders>
          </w:tcPr>
          <w:p w14:paraId="5B5C3CC4"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“Bronze Contract”</w:t>
            </w:r>
          </w:p>
        </w:tc>
        <w:tc>
          <w:tcPr>
            <w:tcW w:w="5745" w:type="dxa"/>
            <w:tcBorders>
              <w:top w:val="single" w:sz="4" w:space="0" w:color="000000"/>
              <w:left w:val="single" w:sz="4" w:space="0" w:color="000000"/>
              <w:bottom w:val="single" w:sz="4" w:space="0" w:color="000000"/>
              <w:right w:val="single" w:sz="4" w:space="0" w:color="000000"/>
            </w:tcBorders>
          </w:tcPr>
          <w:p w14:paraId="7C94248B"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A Call-Off Contract categorised as a </w:t>
            </w:r>
            <w:proofErr w:type="gramStart"/>
            <w:r>
              <w:rPr>
                <w:rFonts w:ascii="Arial" w:eastAsia="Arial" w:hAnsi="Arial"/>
                <w:color w:val="000000"/>
                <w:sz w:val="24"/>
                <w:szCs w:val="24"/>
              </w:rPr>
              <w:t>Bronze</w:t>
            </w:r>
            <w:proofErr w:type="gramEnd"/>
            <w:r>
              <w:rPr>
                <w:rFonts w:ascii="Arial" w:eastAsia="Arial" w:hAnsi="Arial"/>
                <w:color w:val="000000"/>
                <w:sz w:val="24"/>
                <w:szCs w:val="24"/>
              </w:rPr>
              <w:t xml:space="preserve"> contract using the Cabinet Office Contract Tiering Tool;</w:t>
            </w:r>
          </w:p>
        </w:tc>
      </w:tr>
      <w:tr w:rsidR="000353B1" w14:paraId="1EF469FA" w14:textId="77777777">
        <w:tc>
          <w:tcPr>
            <w:tcW w:w="2910" w:type="dxa"/>
            <w:tcBorders>
              <w:top w:val="single" w:sz="4" w:space="0" w:color="000000"/>
              <w:left w:val="single" w:sz="4" w:space="0" w:color="000000"/>
              <w:bottom w:val="single" w:sz="4" w:space="0" w:color="000000"/>
              <w:right w:val="single" w:sz="4" w:space="0" w:color="000000"/>
            </w:tcBorders>
          </w:tcPr>
          <w:p w14:paraId="07328854"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745" w:type="dxa"/>
            <w:tcBorders>
              <w:top w:val="single" w:sz="4" w:space="0" w:color="000000"/>
              <w:left w:val="single" w:sz="4" w:space="0" w:color="000000"/>
              <w:bottom w:val="single" w:sz="4" w:space="0" w:color="000000"/>
              <w:right w:val="single" w:sz="4" w:space="0" w:color="000000"/>
            </w:tcBorders>
          </w:tcPr>
          <w:p w14:paraId="38A4A255"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0353B1" w14:paraId="47D6FCF2" w14:textId="77777777">
        <w:tc>
          <w:tcPr>
            <w:tcW w:w="2910" w:type="dxa"/>
            <w:tcBorders>
              <w:top w:val="single" w:sz="4" w:space="0" w:color="000000"/>
              <w:left w:val="single" w:sz="4" w:space="0" w:color="000000"/>
              <w:bottom w:val="single" w:sz="4" w:space="0" w:color="000000"/>
              <w:right w:val="single" w:sz="4" w:space="0" w:color="000000"/>
            </w:tcBorders>
          </w:tcPr>
          <w:p w14:paraId="21926028"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“Credit Rating Threshold”</w:t>
            </w:r>
          </w:p>
        </w:tc>
        <w:tc>
          <w:tcPr>
            <w:tcW w:w="5745" w:type="dxa"/>
            <w:tcBorders>
              <w:top w:val="single" w:sz="4" w:space="0" w:color="000000"/>
              <w:left w:val="single" w:sz="4" w:space="0" w:color="000000"/>
              <w:bottom w:val="single" w:sz="4" w:space="0" w:color="000000"/>
              <w:right w:val="single" w:sz="4" w:space="0" w:color="000000"/>
            </w:tcBorders>
          </w:tcPr>
          <w:p w14:paraId="077FAB30"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the minimum credit rating level for each entity in the FDE Group as set out in Annex </w:t>
            </w:r>
            <w:r>
              <w:rPr>
                <w:rFonts w:ascii="Arial" w:eastAsia="Arial" w:hAnsi="Arial"/>
                <w:sz w:val="24"/>
                <w:szCs w:val="24"/>
              </w:rPr>
              <w:t>2</w:t>
            </w:r>
            <w:r>
              <w:rPr>
                <w:rFonts w:ascii="Arial" w:eastAsia="Arial" w:hAnsi="Arial"/>
                <w:color w:val="000000"/>
                <w:sz w:val="24"/>
                <w:szCs w:val="24"/>
              </w:rPr>
              <w:t xml:space="preserve"> to this Schedule;</w:t>
            </w:r>
          </w:p>
        </w:tc>
      </w:tr>
      <w:tr w:rsidR="000353B1" w14:paraId="3793FC50" w14:textId="77777777">
        <w:tc>
          <w:tcPr>
            <w:tcW w:w="2910" w:type="dxa"/>
            <w:tcBorders>
              <w:top w:val="single" w:sz="4" w:space="0" w:color="000000"/>
              <w:left w:val="single" w:sz="4" w:space="0" w:color="000000"/>
              <w:bottom w:val="single" w:sz="4" w:space="0" w:color="000000"/>
              <w:right w:val="single" w:sz="4" w:space="0" w:color="000000"/>
            </w:tcBorders>
          </w:tcPr>
          <w:p w14:paraId="1DB2A5B6"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“FDE Group”</w:t>
            </w:r>
          </w:p>
        </w:tc>
        <w:tc>
          <w:tcPr>
            <w:tcW w:w="5745" w:type="dxa"/>
            <w:tcBorders>
              <w:top w:val="single" w:sz="4" w:space="0" w:color="000000"/>
              <w:left w:val="single" w:sz="4" w:space="0" w:color="000000"/>
              <w:bottom w:val="single" w:sz="4" w:space="0" w:color="000000"/>
              <w:right w:val="single" w:sz="4" w:space="0" w:color="000000"/>
            </w:tcBorders>
          </w:tcPr>
          <w:p w14:paraId="698BE9C4"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Supplier, Key Sub-contractors, the Guarantor and the Monitored Suppliers;</w:t>
            </w:r>
          </w:p>
        </w:tc>
      </w:tr>
      <w:tr w:rsidR="000353B1" w14:paraId="2D08BBBC" w14:textId="77777777">
        <w:tc>
          <w:tcPr>
            <w:tcW w:w="2910" w:type="dxa"/>
            <w:tcBorders>
              <w:top w:val="single" w:sz="4" w:space="0" w:color="000000"/>
              <w:left w:val="single" w:sz="4" w:space="0" w:color="000000"/>
              <w:bottom w:val="single" w:sz="4" w:space="0" w:color="000000"/>
              <w:right w:val="single" w:sz="4" w:space="0" w:color="000000"/>
            </w:tcBorders>
          </w:tcPr>
          <w:p w14:paraId="4343696C"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Distress Event”</w:t>
            </w:r>
          </w:p>
        </w:tc>
        <w:tc>
          <w:tcPr>
            <w:tcW w:w="5745" w:type="dxa"/>
            <w:tcBorders>
              <w:top w:val="single" w:sz="4" w:space="0" w:color="000000"/>
              <w:left w:val="single" w:sz="4" w:space="0" w:color="000000"/>
              <w:bottom w:val="single" w:sz="4" w:space="0" w:color="000000"/>
              <w:right w:val="single" w:sz="4" w:space="0" w:color="000000"/>
            </w:tcBorders>
          </w:tcPr>
          <w:p w14:paraId="0C301E58"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0353B1" w14:paraId="47D3AE3E" w14:textId="77777777">
        <w:tc>
          <w:tcPr>
            <w:tcW w:w="2910" w:type="dxa"/>
            <w:tcBorders>
              <w:top w:val="single" w:sz="4" w:space="0" w:color="000000"/>
              <w:left w:val="single" w:sz="4" w:space="0" w:color="000000"/>
              <w:bottom w:val="single" w:sz="4" w:space="0" w:color="000000"/>
              <w:right w:val="single" w:sz="4" w:space="0" w:color="000000"/>
            </w:tcBorders>
          </w:tcPr>
          <w:p w14:paraId="4316E3C1"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Distress Remediation Plan”</w:t>
            </w:r>
          </w:p>
          <w:p w14:paraId="602C2F63" w14:textId="77777777" w:rsidR="000353B1" w:rsidRDefault="00B84A77">
            <w:pPr>
              <w:tabs>
                <w:tab w:val="left" w:pos="1908"/>
              </w:tabs>
              <w:rPr>
                <w:rFonts w:ascii="Arial" w:eastAsia="Arial" w:hAnsi="Arial"/>
                <w:sz w:val="24"/>
                <w:szCs w:val="24"/>
              </w:rPr>
            </w:pPr>
            <w:r>
              <w:rPr>
                <w:rFonts w:ascii="Arial" w:eastAsia="Arial" w:hAnsi="Arial"/>
                <w:sz w:val="24"/>
                <w:szCs w:val="24"/>
              </w:rPr>
              <w:tab/>
            </w:r>
          </w:p>
        </w:tc>
        <w:tc>
          <w:tcPr>
            <w:tcW w:w="5745" w:type="dxa"/>
            <w:tcBorders>
              <w:top w:val="single" w:sz="4" w:space="0" w:color="000000"/>
              <w:left w:val="single" w:sz="4" w:space="0" w:color="000000"/>
              <w:bottom w:val="single" w:sz="4" w:space="0" w:color="000000"/>
              <w:right w:val="single" w:sz="4" w:space="0" w:color="000000"/>
            </w:tcBorders>
          </w:tcPr>
          <w:p w14:paraId="1A22E5B9"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the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0353B1" w14:paraId="149E44D5" w14:textId="77777777">
        <w:tc>
          <w:tcPr>
            <w:tcW w:w="2910" w:type="dxa"/>
            <w:tcBorders>
              <w:top w:val="single" w:sz="4" w:space="0" w:color="000000"/>
              <w:left w:val="single" w:sz="4" w:space="0" w:color="000000"/>
              <w:bottom w:val="single" w:sz="4" w:space="0" w:color="000000"/>
              <w:right w:val="single" w:sz="4" w:space="0" w:color="000000"/>
            </w:tcBorders>
          </w:tcPr>
          <w:p w14:paraId="1ED057AB"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Indicators”</w:t>
            </w:r>
          </w:p>
        </w:tc>
        <w:tc>
          <w:tcPr>
            <w:tcW w:w="5745" w:type="dxa"/>
            <w:tcBorders>
              <w:top w:val="single" w:sz="4" w:space="0" w:color="000000"/>
              <w:left w:val="single" w:sz="4" w:space="0" w:color="000000"/>
              <w:bottom w:val="single" w:sz="4" w:space="0" w:color="000000"/>
              <w:right w:val="single" w:sz="4" w:space="0" w:color="000000"/>
            </w:tcBorders>
          </w:tcPr>
          <w:p w14:paraId="39BFF81D"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in respect of the Supplier, Key Sub-contractors and the Guarantor, means each of the financial indicators set out at paragraph 5.1 of this Schedule and in respect of each Monitored Supplier, means those Applicable Financial</w:t>
            </w:r>
            <w:r>
              <w:rPr>
                <w:rFonts w:ascii="Arial" w:eastAsia="Arial" w:hAnsi="Arial"/>
                <w:sz w:val="24"/>
                <w:szCs w:val="24"/>
              </w:rPr>
              <w:t xml:space="preserve"> </w:t>
            </w:r>
            <w:r>
              <w:rPr>
                <w:rFonts w:ascii="Arial" w:eastAsia="Arial" w:hAnsi="Arial"/>
                <w:color w:val="000000"/>
                <w:sz w:val="24"/>
                <w:szCs w:val="24"/>
              </w:rPr>
              <w:t>Indicators;</w:t>
            </w:r>
          </w:p>
        </w:tc>
      </w:tr>
      <w:tr w:rsidR="000353B1" w14:paraId="40708079" w14:textId="77777777">
        <w:tc>
          <w:tcPr>
            <w:tcW w:w="2910" w:type="dxa"/>
            <w:tcBorders>
              <w:top w:val="single" w:sz="4" w:space="0" w:color="000000"/>
              <w:left w:val="single" w:sz="4" w:space="0" w:color="000000"/>
              <w:bottom w:val="single" w:sz="4" w:space="0" w:color="000000"/>
              <w:right w:val="single" w:sz="4" w:space="0" w:color="000000"/>
            </w:tcBorders>
          </w:tcPr>
          <w:p w14:paraId="16C3601F"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745" w:type="dxa"/>
            <w:tcBorders>
              <w:top w:val="single" w:sz="4" w:space="0" w:color="000000"/>
              <w:left w:val="single" w:sz="4" w:space="0" w:color="000000"/>
              <w:bottom w:val="single" w:sz="4" w:space="0" w:color="000000"/>
              <w:right w:val="single" w:sz="4" w:space="0" w:color="000000"/>
            </w:tcBorders>
          </w:tcPr>
          <w:p w14:paraId="604B3657"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0353B1" w14:paraId="5B96C030" w14:textId="77777777">
        <w:tc>
          <w:tcPr>
            <w:tcW w:w="2910" w:type="dxa"/>
            <w:tcBorders>
              <w:top w:val="single" w:sz="4" w:space="0" w:color="000000"/>
              <w:left w:val="single" w:sz="4" w:space="0" w:color="000000"/>
              <w:bottom w:val="single" w:sz="4" w:space="0" w:color="000000"/>
              <w:right w:val="single" w:sz="4" w:space="0" w:color="000000"/>
            </w:tcBorders>
          </w:tcPr>
          <w:p w14:paraId="36FD65C5"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“Monitored Suppliers”</w:t>
            </w:r>
          </w:p>
        </w:tc>
        <w:tc>
          <w:tcPr>
            <w:tcW w:w="5745" w:type="dxa"/>
            <w:tcBorders>
              <w:top w:val="single" w:sz="4" w:space="0" w:color="000000"/>
              <w:left w:val="single" w:sz="4" w:space="0" w:color="000000"/>
              <w:bottom w:val="single" w:sz="4" w:space="0" w:color="000000"/>
              <w:right w:val="single" w:sz="4" w:space="0" w:color="000000"/>
            </w:tcBorders>
          </w:tcPr>
          <w:p w14:paraId="3235F8CE"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0353B1" w14:paraId="38288A5F" w14:textId="77777777">
        <w:tc>
          <w:tcPr>
            <w:tcW w:w="2910" w:type="dxa"/>
            <w:tcBorders>
              <w:top w:val="single" w:sz="4" w:space="0" w:color="000000"/>
              <w:left w:val="single" w:sz="4" w:space="0" w:color="000000"/>
              <w:bottom w:val="single" w:sz="4" w:space="0" w:color="000000"/>
              <w:right w:val="single" w:sz="4" w:space="0" w:color="000000"/>
            </w:tcBorders>
          </w:tcPr>
          <w:p w14:paraId="4157EAF9"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“Rating Agencies”</w:t>
            </w:r>
          </w:p>
        </w:tc>
        <w:tc>
          <w:tcPr>
            <w:tcW w:w="5745" w:type="dxa"/>
            <w:tcBorders>
              <w:top w:val="single" w:sz="4" w:space="0" w:color="000000"/>
              <w:left w:val="single" w:sz="4" w:space="0" w:color="000000"/>
              <w:bottom w:val="single" w:sz="4" w:space="0" w:color="000000"/>
              <w:right w:val="single" w:sz="4" w:space="0" w:color="000000"/>
            </w:tcBorders>
          </w:tcPr>
          <w:p w14:paraId="64DE1DC2"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0353B1" w14:paraId="2725D729" w14:textId="77777777">
        <w:tc>
          <w:tcPr>
            <w:tcW w:w="2910" w:type="dxa"/>
            <w:tcBorders>
              <w:top w:val="single" w:sz="4" w:space="0" w:color="000000"/>
              <w:left w:val="single" w:sz="4" w:space="0" w:color="000000"/>
              <w:bottom w:val="single" w:sz="4" w:space="0" w:color="000000"/>
              <w:right w:val="single" w:sz="4" w:space="0" w:color="000000"/>
            </w:tcBorders>
          </w:tcPr>
          <w:p w14:paraId="065131C3"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“Strategic Supplier”</w:t>
            </w:r>
          </w:p>
        </w:tc>
        <w:tc>
          <w:tcPr>
            <w:tcW w:w="5745" w:type="dxa"/>
            <w:tcBorders>
              <w:top w:val="single" w:sz="4" w:space="0" w:color="000000"/>
              <w:left w:val="single" w:sz="4" w:space="0" w:color="000000"/>
              <w:bottom w:val="single" w:sz="4" w:space="0" w:color="000000"/>
              <w:right w:val="single" w:sz="4" w:space="0" w:color="000000"/>
            </w:tcBorders>
          </w:tcPr>
          <w:p w14:paraId="73EEB1BF"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14:paraId="71BC1396" w14:textId="77777777" w:rsidR="000353B1" w:rsidRDefault="000353B1">
      <w:pPr>
        <w:keepNext/>
        <w:pBdr>
          <w:top w:val="nil"/>
          <w:left w:val="nil"/>
          <w:bottom w:val="nil"/>
          <w:right w:val="nil"/>
          <w:between w:val="nil"/>
        </w:pBdr>
        <w:tabs>
          <w:tab w:val="left" w:pos="142"/>
        </w:tabs>
        <w:spacing w:before="120"/>
        <w:ind w:left="360"/>
        <w:jc w:val="left"/>
        <w:rPr>
          <w:rFonts w:ascii="Arial" w:eastAsia="Arial" w:hAnsi="Arial"/>
          <w:b/>
          <w:sz w:val="24"/>
          <w:szCs w:val="24"/>
        </w:rPr>
      </w:pPr>
    </w:p>
    <w:p w14:paraId="57485D93" w14:textId="77777777" w:rsidR="000353B1" w:rsidRDefault="00B84A77" w:rsidP="002F37AB">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Warranties and duty to notify</w:t>
      </w:r>
    </w:p>
    <w:p w14:paraId="0E3AA274" w14:textId="77777777" w:rsidR="000353B1" w:rsidRDefault="00B84A77" w:rsidP="002F37AB">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7A76EBA4"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each entity in the FDE Group by each of the Rating Agencies are as set out in Annex 2 to this Schedule; and</w:t>
      </w:r>
    </w:p>
    <w:p w14:paraId="3F3AF8ED"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14:paraId="546C69CC" w14:textId="77777777" w:rsidR="000353B1" w:rsidRDefault="00B84A77" w:rsidP="002F37AB">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5E239ECF" w14:textId="77777777" w:rsidR="000353B1" w:rsidRDefault="00B84A77" w:rsidP="002F37AB">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w:t>
      </w:r>
    </w:p>
    <w:p w14:paraId="17905407"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regularly monitor the credit ratings of each entity in the FDE Group with the Rating </w:t>
      </w:r>
      <w:proofErr w:type="gramStart"/>
      <w:r>
        <w:rPr>
          <w:rFonts w:ascii="Arial" w:eastAsia="Arial" w:hAnsi="Arial"/>
          <w:color w:val="000000"/>
          <w:sz w:val="24"/>
          <w:szCs w:val="24"/>
        </w:rPr>
        <w:t>Agencies;</w:t>
      </w:r>
      <w:proofErr w:type="gramEnd"/>
    </w:p>
    <w:p w14:paraId="16F44871"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348BDDDC"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74CB0D59" w14:textId="77777777" w:rsidR="000353B1" w:rsidRDefault="00B84A77" w:rsidP="00936212">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pursuant to the provisions of Paragraphs 3.1(a), and for the purposes </w:t>
      </w:r>
      <w:r>
        <w:rPr>
          <w:rFonts w:ascii="Arial" w:eastAsia="Arial" w:hAnsi="Arial"/>
          <w:color w:val="000000"/>
          <w:sz w:val="24"/>
          <w:szCs w:val="24"/>
        </w:rPr>
        <w:lastRenderedPageBreak/>
        <w:t>of determining relief under Paragraph 7.1, the credit rating of an FDE Group entity shall be deemed to have dropped below the applicable Credit Rating Threshold if any of the Rating Agencies have rated that entity at or below the applicable Credit Rating Threshold; or</w:t>
      </w:r>
    </w:p>
    <w:p w14:paraId="2CCBF3AA" w14:textId="77777777" w:rsidR="000353B1" w:rsidRDefault="00B84A77" w:rsidP="0032625F">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2.3(b) shall:</w:t>
      </w:r>
    </w:p>
    <w:p w14:paraId="274F7CA1"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be a single report with separate sections for each of the FDE Group </w:t>
      </w:r>
      <w:proofErr w:type="gramStart"/>
      <w:r>
        <w:rPr>
          <w:rFonts w:ascii="Arial" w:eastAsia="Arial" w:hAnsi="Arial"/>
          <w:color w:val="000000"/>
          <w:sz w:val="24"/>
          <w:szCs w:val="24"/>
        </w:rPr>
        <w:t>entities;</w:t>
      </w:r>
      <w:proofErr w:type="gramEnd"/>
    </w:p>
    <w:p w14:paraId="2F6CE4FC"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contain a sufficient level of information to enable the Relevant Authority to verify the calculations that have been made in respect of the Financial </w:t>
      </w:r>
      <w:proofErr w:type="gramStart"/>
      <w:r>
        <w:rPr>
          <w:rFonts w:ascii="Arial" w:eastAsia="Arial" w:hAnsi="Arial"/>
          <w:color w:val="000000"/>
          <w:sz w:val="24"/>
          <w:szCs w:val="24"/>
        </w:rPr>
        <w:t>Indicators;</w:t>
      </w:r>
      <w:proofErr w:type="gramEnd"/>
    </w:p>
    <w:p w14:paraId="7F996FBC"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include key financial and other supporting information (including any accounts data that has been relied on) as separate </w:t>
      </w:r>
      <w:proofErr w:type="gramStart"/>
      <w:r>
        <w:rPr>
          <w:rFonts w:ascii="Arial" w:eastAsia="Arial" w:hAnsi="Arial"/>
          <w:color w:val="000000"/>
          <w:sz w:val="24"/>
          <w:szCs w:val="24"/>
        </w:rPr>
        <w:t>annexes;</w:t>
      </w:r>
      <w:proofErr w:type="gramEnd"/>
    </w:p>
    <w:p w14:paraId="3C60777B"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5BD49102"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14:paraId="04CBE614" w14:textId="77777777" w:rsidR="000353B1" w:rsidRDefault="00B84A77" w:rsidP="0032625F">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Financial Distress events</w:t>
      </w:r>
    </w:p>
    <w:p w14:paraId="1D463368" w14:textId="77777777" w:rsidR="000353B1" w:rsidRDefault="00B84A77" w:rsidP="0032625F">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292EE1B8"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the credit rating of an FDE Group entity dropping below the applicable Credit Rating </w:t>
      </w:r>
      <w:proofErr w:type="gramStart"/>
      <w:r>
        <w:rPr>
          <w:rFonts w:ascii="Arial" w:eastAsia="Arial" w:hAnsi="Arial"/>
          <w:color w:val="000000"/>
          <w:sz w:val="24"/>
          <w:szCs w:val="24"/>
        </w:rPr>
        <w:t>Threshold;</w:t>
      </w:r>
      <w:proofErr w:type="gramEnd"/>
    </w:p>
    <w:p w14:paraId="06960785"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an FDE Group entity issuing a profits warning to a stock exchange or making any other public announcement, in each case about a material deterioration in its financial position or </w:t>
      </w:r>
      <w:proofErr w:type="gramStart"/>
      <w:r>
        <w:rPr>
          <w:rFonts w:ascii="Arial" w:eastAsia="Arial" w:hAnsi="Arial"/>
          <w:color w:val="000000"/>
          <w:sz w:val="24"/>
          <w:szCs w:val="24"/>
        </w:rPr>
        <w:t>prospects;</w:t>
      </w:r>
      <w:proofErr w:type="gramEnd"/>
    </w:p>
    <w:p w14:paraId="44AB2B38"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an FDE Group </w:t>
      </w:r>
      <w:proofErr w:type="gramStart"/>
      <w:r>
        <w:rPr>
          <w:rFonts w:ascii="Arial" w:eastAsia="Arial" w:hAnsi="Arial"/>
          <w:color w:val="000000"/>
          <w:sz w:val="24"/>
          <w:szCs w:val="24"/>
        </w:rPr>
        <w:t>entity;</w:t>
      </w:r>
      <w:proofErr w:type="gramEnd"/>
    </w:p>
    <w:p w14:paraId="75A5DC21"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an FDE Group entity committing a material breach of covenant to its </w:t>
      </w:r>
      <w:proofErr w:type="gramStart"/>
      <w:r>
        <w:rPr>
          <w:rFonts w:ascii="Arial" w:eastAsia="Arial" w:hAnsi="Arial"/>
          <w:color w:val="000000"/>
          <w:sz w:val="24"/>
          <w:szCs w:val="24"/>
        </w:rPr>
        <w:t>lenders;</w:t>
      </w:r>
      <w:proofErr w:type="gramEnd"/>
    </w:p>
    <w:p w14:paraId="76FAE78E"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bookmarkStart w:id="1" w:name="_heading=h.1ksv4uv" w:colFirst="0" w:colLast="0"/>
      <w:bookmarkEnd w:id="1"/>
      <w:r>
        <w:rPr>
          <w:rFonts w:ascii="Arial" w:eastAsia="Arial" w:hAnsi="Arial"/>
          <w:color w:val="000000"/>
          <w:sz w:val="24"/>
          <w:szCs w:val="24"/>
        </w:rPr>
        <w:t xml:space="preserve">a Key Sub-contractor notifying CCS or the Buyer that the Supplier has not satisfied any material sums properly due under a specified invoice and not subject to a genuine </w:t>
      </w:r>
      <w:proofErr w:type="gramStart"/>
      <w:r>
        <w:rPr>
          <w:rFonts w:ascii="Arial" w:eastAsia="Arial" w:hAnsi="Arial"/>
          <w:color w:val="000000"/>
          <w:sz w:val="24"/>
          <w:szCs w:val="24"/>
        </w:rPr>
        <w:t>dispute;</w:t>
      </w:r>
      <w:proofErr w:type="gramEnd"/>
    </w:p>
    <w:p w14:paraId="12921F4F"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any of the following:</w:t>
      </w:r>
    </w:p>
    <w:p w14:paraId="0AC7E2C2" w14:textId="77777777" w:rsidR="000353B1" w:rsidRDefault="00B84A77" w:rsidP="000D17B8">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commencement of any litigation against an FDE Group entity with respect to financial indebtedness greater than £5m or obligations under a service contract with a total contract value greater than £</w:t>
      </w:r>
      <w:proofErr w:type="gramStart"/>
      <w:r>
        <w:rPr>
          <w:rFonts w:ascii="Arial" w:eastAsia="Arial" w:hAnsi="Arial"/>
          <w:color w:val="000000"/>
          <w:sz w:val="24"/>
          <w:szCs w:val="24"/>
        </w:rPr>
        <w:t>5m;</w:t>
      </w:r>
      <w:proofErr w:type="gramEnd"/>
      <w:r>
        <w:rPr>
          <w:rFonts w:ascii="Arial" w:eastAsia="Arial" w:hAnsi="Arial"/>
          <w:color w:val="000000"/>
          <w:sz w:val="24"/>
          <w:szCs w:val="24"/>
        </w:rPr>
        <w:t xml:space="preserve"> </w:t>
      </w:r>
    </w:p>
    <w:p w14:paraId="3152E3C6" w14:textId="77777777" w:rsidR="000353B1" w:rsidRDefault="00B84A77" w:rsidP="000D17B8">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 xml:space="preserve">non-payment by an FDE Group entity of any financial </w:t>
      </w:r>
      <w:proofErr w:type="gramStart"/>
      <w:r>
        <w:rPr>
          <w:rFonts w:ascii="Arial" w:eastAsia="Arial" w:hAnsi="Arial"/>
          <w:color w:val="000000"/>
          <w:sz w:val="24"/>
          <w:szCs w:val="24"/>
        </w:rPr>
        <w:t>indebtedness;</w:t>
      </w:r>
      <w:proofErr w:type="gramEnd"/>
    </w:p>
    <w:p w14:paraId="53F8FEB7" w14:textId="77777777" w:rsidR="000353B1" w:rsidRDefault="00B84A77" w:rsidP="007415C7">
      <w:pPr>
        <w:numPr>
          <w:ilvl w:val="3"/>
          <w:numId w:val="2"/>
        </w:numPr>
        <w:pBdr>
          <w:top w:val="nil"/>
          <w:left w:val="nil"/>
          <w:bottom w:val="nil"/>
          <w:right w:val="nil"/>
          <w:between w:val="nil"/>
        </w:pBdr>
        <w:tabs>
          <w:tab w:val="left" w:pos="1985"/>
        </w:tabs>
        <w:spacing w:before="120" w:after="120"/>
        <w:ind w:left="1985" w:hanging="851"/>
        <w:rPr>
          <w:rFonts w:ascii="Arial" w:eastAsia="Arial" w:hAnsi="Arial"/>
          <w:color w:val="000000"/>
          <w:sz w:val="24"/>
          <w:szCs w:val="24"/>
        </w:rPr>
      </w:pPr>
      <w:r>
        <w:rPr>
          <w:rFonts w:ascii="Arial" w:eastAsia="Arial" w:hAnsi="Arial"/>
          <w:color w:val="000000"/>
          <w:sz w:val="24"/>
          <w:szCs w:val="24"/>
        </w:rPr>
        <w:lastRenderedPageBreak/>
        <w:t xml:space="preserve">any financial indebtedness of an FDE Group entity becoming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w:t>
      </w:r>
      <w:proofErr w:type="gramStart"/>
      <w:r>
        <w:rPr>
          <w:rFonts w:ascii="Arial" w:eastAsia="Arial" w:hAnsi="Arial"/>
          <w:color w:val="000000"/>
          <w:sz w:val="24"/>
          <w:szCs w:val="24"/>
        </w:rPr>
        <w:t>default;</w:t>
      </w:r>
      <w:proofErr w:type="gramEnd"/>
    </w:p>
    <w:p w14:paraId="12509FE1" w14:textId="77777777" w:rsidR="000353B1" w:rsidRDefault="00B84A77" w:rsidP="007415C7">
      <w:pPr>
        <w:numPr>
          <w:ilvl w:val="3"/>
          <w:numId w:val="2"/>
        </w:numPr>
        <w:pBdr>
          <w:top w:val="nil"/>
          <w:left w:val="nil"/>
          <w:bottom w:val="nil"/>
          <w:right w:val="nil"/>
          <w:between w:val="nil"/>
        </w:pBdr>
        <w:tabs>
          <w:tab w:val="left" w:pos="1985"/>
        </w:tabs>
        <w:spacing w:before="120" w:after="120"/>
        <w:ind w:left="1985" w:hanging="851"/>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3A1235B5" w14:textId="77777777" w:rsidR="000353B1" w:rsidRDefault="00B84A77" w:rsidP="007415C7">
      <w:pPr>
        <w:numPr>
          <w:ilvl w:val="3"/>
          <w:numId w:val="2"/>
        </w:numPr>
        <w:pBdr>
          <w:top w:val="nil"/>
          <w:left w:val="nil"/>
          <w:bottom w:val="nil"/>
          <w:right w:val="nil"/>
          <w:between w:val="nil"/>
        </w:pBdr>
        <w:tabs>
          <w:tab w:val="left" w:pos="1985"/>
        </w:tabs>
        <w:spacing w:before="120" w:after="120"/>
        <w:ind w:left="1985" w:hanging="851"/>
        <w:rPr>
          <w:rFonts w:ascii="Arial" w:eastAsia="Arial" w:hAnsi="Arial"/>
          <w:color w:val="000000"/>
          <w:sz w:val="24"/>
          <w:szCs w:val="24"/>
        </w:rPr>
      </w:pPr>
      <w:r>
        <w:rPr>
          <w:rFonts w:ascii="Arial" w:eastAsia="Arial" w:hAnsi="Arial"/>
          <w:color w:val="000000"/>
          <w:sz w:val="24"/>
          <w:szCs w:val="24"/>
        </w:rPr>
        <w:t xml:space="preserve">the external auditor of an FDE Group entity expressing a qualified opinion on, or including an emphasis of matter in, its opinion on the statutory accounts of that FDE </w:t>
      </w:r>
      <w:proofErr w:type="gramStart"/>
      <w:r>
        <w:rPr>
          <w:rFonts w:ascii="Arial" w:eastAsia="Arial" w:hAnsi="Arial"/>
          <w:color w:val="000000"/>
          <w:sz w:val="24"/>
          <w:szCs w:val="24"/>
        </w:rPr>
        <w:t>entity;</w:t>
      </w:r>
      <w:proofErr w:type="gramEnd"/>
    </w:p>
    <w:p w14:paraId="67A338B8" w14:textId="77777777" w:rsidR="000353B1" w:rsidRDefault="00B84A77" w:rsidP="007415C7">
      <w:pPr>
        <w:pBdr>
          <w:top w:val="nil"/>
          <w:left w:val="nil"/>
          <w:bottom w:val="nil"/>
          <w:right w:val="nil"/>
          <w:between w:val="nil"/>
        </w:pBdr>
        <w:tabs>
          <w:tab w:val="left" w:pos="1985"/>
        </w:tabs>
        <w:spacing w:before="120" w:after="120"/>
        <w:ind w:left="567"/>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7BC3CE1F" w14:textId="77777777" w:rsidR="000353B1" w:rsidRDefault="00B84A77" w:rsidP="007415C7">
      <w:pPr>
        <w:numPr>
          <w:ilvl w:val="2"/>
          <w:numId w:val="2"/>
        </w:numPr>
        <w:pBdr>
          <w:top w:val="nil"/>
          <w:left w:val="nil"/>
          <w:bottom w:val="nil"/>
          <w:right w:val="nil"/>
          <w:between w:val="nil"/>
        </w:pBdr>
        <w:tabs>
          <w:tab w:val="left" w:pos="1985"/>
        </w:tabs>
        <w:spacing w:before="120" w:after="120"/>
        <w:ind w:left="567" w:hanging="567"/>
        <w:rPr>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21C76EF4" w14:textId="77777777" w:rsidR="000353B1" w:rsidRDefault="00B84A77" w:rsidP="007415C7">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Pr>
          <w:rFonts w:ascii="Arial" w:eastAsia="Arial" w:hAnsi="Arial"/>
          <w:b/>
          <w:color w:val="000000"/>
          <w:sz w:val="24"/>
          <w:szCs w:val="24"/>
        </w:rPr>
        <w:t>Consequences of Financial Distress Events</w:t>
      </w:r>
    </w:p>
    <w:p w14:paraId="7AF84B7F" w14:textId="77777777" w:rsidR="000353B1" w:rsidRDefault="00B84A77" w:rsidP="007415C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 xml:space="preserve">Immediately upon notification by the Supplier of a Financial Distress Event (or if the Relevant Authority becomes aware of a Financial Distress Event without notification and brings the event to the attention of the Supplier), the Supplier shall have the </w:t>
      </w:r>
      <w:proofErr w:type="gramStart"/>
      <w:r>
        <w:rPr>
          <w:rFonts w:ascii="Arial" w:eastAsia="Arial" w:hAnsi="Arial"/>
          <w:color w:val="000000"/>
          <w:sz w:val="24"/>
          <w:szCs w:val="24"/>
        </w:rPr>
        <w:t>obligations</w:t>
      </w:r>
      <w:proofErr w:type="gramEnd"/>
      <w:r>
        <w:rPr>
          <w:rFonts w:ascii="Arial" w:eastAsia="Arial" w:hAnsi="Arial"/>
          <w:color w:val="000000"/>
          <w:sz w:val="24"/>
          <w:szCs w:val="24"/>
        </w:rPr>
        <w:t xml:space="preserve"> and the Relevant Authority shall have the rights and remedies as set out in Paragraphs 4.3 to 4.6.</w:t>
      </w:r>
    </w:p>
    <w:p w14:paraId="22754492" w14:textId="77777777" w:rsidR="000353B1" w:rsidRDefault="00B84A77" w:rsidP="007415C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3.1(e), the Relevant Authority shall not exercise any of its rights or remedies under Paragraph 4.3 without first giving the Supplier 10 Working Days to:</w:t>
      </w:r>
    </w:p>
    <w:p w14:paraId="07D44B37" w14:textId="77777777" w:rsidR="000353B1" w:rsidRDefault="00B84A77" w:rsidP="00FF5C4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rectify such late or non-payment; or</w:t>
      </w:r>
    </w:p>
    <w:p w14:paraId="76563CF7" w14:textId="77777777" w:rsidR="000353B1" w:rsidRDefault="00B84A77" w:rsidP="00FF5C4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656DD494" w14:textId="77777777" w:rsidR="000353B1" w:rsidRDefault="00B84A77" w:rsidP="00FF5C4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14:paraId="41810D8E" w14:textId="77777777" w:rsidR="000353B1" w:rsidRDefault="00B84A77" w:rsidP="00B7224D">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0EF1C79F" w14:textId="77777777" w:rsidR="000353B1" w:rsidRDefault="00B84A77" w:rsidP="00B7224D">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4.3(a) that the Financial Distress Event could impact on the continued performance and delivery of the Deliverables in accordance with the Contract:</w:t>
      </w:r>
    </w:p>
    <w:p w14:paraId="6C83D9BA" w14:textId="77777777" w:rsidR="000353B1" w:rsidRDefault="00B84A77" w:rsidP="00B7224D">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w:t>
      </w:r>
      <w:r>
        <w:rPr>
          <w:rFonts w:ascii="Arial" w:eastAsia="Arial" w:hAnsi="Arial"/>
          <w:color w:val="000000"/>
          <w:sz w:val="24"/>
          <w:szCs w:val="24"/>
        </w:rPr>
        <w:lastRenderedPageBreak/>
        <w:t>the Relevant Authority may permit and notify to the Supplier in writing); and</w:t>
      </w:r>
    </w:p>
    <w:p w14:paraId="1944B2E7" w14:textId="77777777" w:rsidR="000353B1" w:rsidRDefault="00B84A77" w:rsidP="00B7224D">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7B9004FB" w14:textId="77777777" w:rsidR="000353B1" w:rsidRDefault="00B84A77" w:rsidP="00B7224D">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5F1C12CF" w14:textId="77777777" w:rsidR="000353B1" w:rsidRDefault="00B84A77" w:rsidP="00B7224D">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530A7254" w14:textId="77777777" w:rsidR="000353B1" w:rsidRDefault="00B84A77" w:rsidP="00B7224D">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14:paraId="52D0E644" w14:textId="77777777" w:rsidR="000353B1" w:rsidRDefault="00B84A77" w:rsidP="000D19D9">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14:paraId="331EB22B" w14:textId="77777777" w:rsidR="000353B1" w:rsidRDefault="00B84A77" w:rsidP="000D19D9">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3BA5F1F0" w14:textId="77777777" w:rsidR="000353B1" w:rsidRDefault="00B84A77" w:rsidP="000D19D9">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w:t>
      </w:r>
      <w:proofErr w:type="gramStart"/>
      <w:r>
        <w:rPr>
          <w:rFonts w:ascii="Arial" w:eastAsia="Arial" w:hAnsi="Arial"/>
          <w:color w:val="000000"/>
          <w:sz w:val="24"/>
          <w:szCs w:val="24"/>
        </w:rPr>
        <w:t>changes;</w:t>
      </w:r>
      <w:proofErr w:type="gramEnd"/>
    </w:p>
    <w:p w14:paraId="683F679D" w14:textId="77777777" w:rsidR="000353B1" w:rsidRDefault="00B84A77" w:rsidP="000D19D9">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where updates are made to the Financial Distress Remediation Plan in accordance with Paragraph 4.6.1(a), submit an updated Financial Distress Remediation Plan to the Relevant Authority for its approval, and the provisions of Paragraphs 4.4 and 4.5 shall apply to the review and </w:t>
      </w:r>
      <w:r>
        <w:rPr>
          <w:rFonts w:ascii="Arial" w:eastAsia="Arial" w:hAnsi="Arial"/>
          <w:color w:val="000000"/>
          <w:sz w:val="24"/>
          <w:szCs w:val="24"/>
        </w:rPr>
        <w:lastRenderedPageBreak/>
        <w:t>approval process for the updated Financial Distress Remediation Plan; and</w:t>
      </w:r>
    </w:p>
    <w:p w14:paraId="6376F3A9" w14:textId="77777777" w:rsidR="000353B1" w:rsidRDefault="00B84A77" w:rsidP="00586C1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656E7D5F" w14:textId="77777777" w:rsidR="000353B1" w:rsidRDefault="00B84A77" w:rsidP="00507E78">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 xml:space="preserve">Where the Supplier reasonably believes that the relevant Financial Distress Event under Paragraph 4.1 (or the circumstance or matter which has caused or otherwise led to it) no longer exists, it shall notify the Relevant </w:t>
      </w:r>
      <w:proofErr w:type="gramStart"/>
      <w:r>
        <w:rPr>
          <w:rFonts w:ascii="Arial" w:eastAsia="Arial" w:hAnsi="Arial"/>
          <w:color w:val="000000"/>
          <w:sz w:val="24"/>
          <w:szCs w:val="24"/>
        </w:rPr>
        <w:t>Authority</w:t>
      </w:r>
      <w:proofErr w:type="gramEnd"/>
      <w:r>
        <w:rPr>
          <w:rFonts w:ascii="Arial" w:eastAsia="Arial" w:hAnsi="Arial"/>
          <w:color w:val="000000"/>
          <w:sz w:val="24"/>
          <w:szCs w:val="24"/>
        </w:rPr>
        <w:t xml:space="preserve"> and the Parties may agree that the Supplier shall be relieved of its obligations under Paragraph 4.6.</w:t>
      </w:r>
    </w:p>
    <w:p w14:paraId="5ACCA3B1" w14:textId="77777777" w:rsidR="000353B1" w:rsidRDefault="00B84A77" w:rsidP="00507E78">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4.3(b)(ii) is available when required and on request from the Relevant Authority and within reasonable timescales. Such measures may include:</w:t>
      </w:r>
    </w:p>
    <w:p w14:paraId="77B092A4" w14:textId="77777777" w:rsidR="000353B1" w:rsidRDefault="00B84A77" w:rsidP="00507E7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obtaining in advance written authority from Key Sub-contractors, the Guarantor and/or Monitored Suppliers authorising the disclosure of the information to the Buyer and/or entering into confidentiality agreements which permit </w:t>
      </w:r>
      <w:proofErr w:type="gramStart"/>
      <w:r>
        <w:rPr>
          <w:rFonts w:ascii="Arial" w:eastAsia="Arial" w:hAnsi="Arial"/>
          <w:color w:val="000000"/>
          <w:sz w:val="24"/>
          <w:szCs w:val="24"/>
        </w:rPr>
        <w:t>disclosure;</w:t>
      </w:r>
      <w:proofErr w:type="gramEnd"/>
    </w:p>
    <w:p w14:paraId="4BF69982" w14:textId="77777777" w:rsidR="000353B1" w:rsidRDefault="00B84A77" w:rsidP="00507E7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agreeing in advance with the Relevant Authority, Key Sub-contractors, the Guarantor and/or Monitored Suppliers a form of confidentiality agreement to be entered by the relevant parties to enable the disclosure of the information to the Relevant </w:t>
      </w:r>
      <w:proofErr w:type="gramStart"/>
      <w:r>
        <w:rPr>
          <w:rFonts w:ascii="Arial" w:eastAsia="Arial" w:hAnsi="Arial"/>
          <w:color w:val="000000"/>
          <w:sz w:val="24"/>
          <w:szCs w:val="24"/>
        </w:rPr>
        <w:t>Authority;</w:t>
      </w:r>
      <w:proofErr w:type="gramEnd"/>
    </w:p>
    <w:p w14:paraId="4E6BFAD9" w14:textId="77777777" w:rsidR="000353B1" w:rsidRDefault="00B84A77" w:rsidP="00507E7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 disclosing the information to the fullest extent that it is lawfully entitled to do so, including through the use of redaction, anonymisation and any other techniques to permit disclosure of the information without breaching a duty of confidentiality.</w:t>
      </w:r>
    </w:p>
    <w:p w14:paraId="1F8342E2" w14:textId="77777777" w:rsidR="000353B1" w:rsidRDefault="00B84A77" w:rsidP="00507E78">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Financial Indicator</w:t>
      </w:r>
      <w:r>
        <w:rPr>
          <w:rFonts w:ascii="Arial" w:eastAsia="Arial" w:hAnsi="Arial"/>
          <w:b/>
          <w:sz w:val="24"/>
          <w:szCs w:val="24"/>
        </w:rPr>
        <w:t>s</w:t>
      </w:r>
    </w:p>
    <w:p w14:paraId="09A988BC" w14:textId="77777777" w:rsidR="000353B1" w:rsidRDefault="00B84A77" w:rsidP="00507E78">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14:paraId="47EF435A" w14:textId="77777777" w:rsidR="000353B1" w:rsidRDefault="000353B1">
      <w:pPr>
        <w:pBdr>
          <w:top w:val="nil"/>
          <w:left w:val="nil"/>
          <w:bottom w:val="nil"/>
          <w:right w:val="nil"/>
          <w:between w:val="nil"/>
        </w:pBdr>
        <w:tabs>
          <w:tab w:val="left" w:pos="1134"/>
        </w:tabs>
        <w:spacing w:before="120" w:after="120"/>
        <w:jc w:val="left"/>
        <w:rPr>
          <w:rFonts w:ascii="Arial" w:eastAsia="Arial" w:hAnsi="Arial"/>
          <w:color w:val="000000"/>
          <w:sz w:val="24"/>
          <w:szCs w:val="24"/>
        </w:rPr>
      </w:pPr>
    </w:p>
    <w:tbl>
      <w:tblPr>
        <w:tblStyle w:val="aff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2126"/>
        <w:gridCol w:w="1418"/>
        <w:gridCol w:w="3067"/>
      </w:tblGrid>
      <w:tr w:rsidR="000353B1" w14:paraId="3EDE0B5C" w14:textId="77777777">
        <w:tc>
          <w:tcPr>
            <w:tcW w:w="2405" w:type="dxa"/>
            <w:shd w:val="clear" w:color="auto" w:fill="D9D9D9"/>
            <w:vAlign w:val="center"/>
          </w:tcPr>
          <w:p w14:paraId="40F7B03B"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r>
              <w:rPr>
                <w:rFonts w:ascii="Arial" w:eastAsia="Arial" w:hAnsi="Arial"/>
                <w:sz w:val="24"/>
                <w:szCs w:val="24"/>
              </w:rPr>
              <w:t>Financial Indicator</w:t>
            </w:r>
          </w:p>
        </w:tc>
        <w:tc>
          <w:tcPr>
            <w:tcW w:w="2126" w:type="dxa"/>
            <w:shd w:val="clear" w:color="auto" w:fill="D9D9D9"/>
            <w:vAlign w:val="center"/>
          </w:tcPr>
          <w:p w14:paraId="7930ADC8"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r>
              <w:rPr>
                <w:rFonts w:ascii="Arial" w:eastAsia="Arial" w:hAnsi="Arial"/>
                <w:sz w:val="24"/>
                <w:szCs w:val="24"/>
              </w:rPr>
              <w:t>Calculation</w:t>
            </w:r>
            <w:r>
              <w:rPr>
                <w:rFonts w:ascii="Arial" w:eastAsia="Arial" w:hAnsi="Arial"/>
                <w:sz w:val="24"/>
                <w:szCs w:val="24"/>
                <w:vertAlign w:val="superscript"/>
              </w:rPr>
              <w:t>1</w:t>
            </w:r>
          </w:p>
        </w:tc>
        <w:tc>
          <w:tcPr>
            <w:tcW w:w="1418" w:type="dxa"/>
            <w:shd w:val="clear" w:color="auto" w:fill="D9D9D9"/>
            <w:vAlign w:val="center"/>
          </w:tcPr>
          <w:p w14:paraId="5B87D681"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r>
              <w:rPr>
                <w:rFonts w:ascii="Arial" w:eastAsia="Arial" w:hAnsi="Arial"/>
                <w:sz w:val="24"/>
                <w:szCs w:val="24"/>
              </w:rPr>
              <w:t>Financial Target Threshold:</w:t>
            </w:r>
          </w:p>
        </w:tc>
        <w:tc>
          <w:tcPr>
            <w:tcW w:w="3067" w:type="dxa"/>
            <w:shd w:val="clear" w:color="auto" w:fill="D9D9D9"/>
            <w:vAlign w:val="center"/>
          </w:tcPr>
          <w:p w14:paraId="053CEEA8"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bookmarkStart w:id="2" w:name="_heading=h.gjdgxs" w:colFirst="0" w:colLast="0"/>
            <w:bookmarkEnd w:id="2"/>
            <w:r>
              <w:rPr>
                <w:rFonts w:ascii="Arial" w:eastAsia="Arial" w:hAnsi="Arial"/>
                <w:sz w:val="24"/>
                <w:szCs w:val="24"/>
              </w:rPr>
              <w:t>Monitoring and Reporting Frequency</w:t>
            </w:r>
          </w:p>
          <w:p w14:paraId="0D9C43B4" w14:textId="77777777" w:rsidR="000353B1" w:rsidRDefault="000353B1">
            <w:pPr>
              <w:pBdr>
                <w:top w:val="nil"/>
                <w:left w:val="nil"/>
                <w:bottom w:val="nil"/>
                <w:right w:val="nil"/>
                <w:between w:val="nil"/>
              </w:pBdr>
              <w:spacing w:before="100" w:after="200"/>
              <w:jc w:val="center"/>
              <w:rPr>
                <w:rFonts w:ascii="Arial" w:eastAsia="Arial" w:hAnsi="Arial"/>
                <w:sz w:val="24"/>
                <w:szCs w:val="24"/>
              </w:rPr>
            </w:pPr>
          </w:p>
        </w:tc>
      </w:tr>
      <w:tr w:rsidR="000353B1" w14:paraId="3116D85F" w14:textId="77777777">
        <w:tc>
          <w:tcPr>
            <w:tcW w:w="2405" w:type="dxa"/>
            <w:vAlign w:val="center"/>
          </w:tcPr>
          <w:p w14:paraId="6766A063" w14:textId="77777777" w:rsidR="000353B1" w:rsidRDefault="00B84A77">
            <w:pPr>
              <w:pBdr>
                <w:top w:val="nil"/>
                <w:left w:val="nil"/>
                <w:bottom w:val="nil"/>
                <w:right w:val="nil"/>
                <w:between w:val="nil"/>
              </w:pBdr>
              <w:spacing w:before="100" w:after="200"/>
              <w:rPr>
                <w:rFonts w:ascii="Arial" w:eastAsia="Arial" w:hAnsi="Arial"/>
                <w:b/>
              </w:rPr>
            </w:pPr>
            <w:r>
              <w:rPr>
                <w:rFonts w:ascii="Arial" w:eastAsia="Arial" w:hAnsi="Arial"/>
                <w:b/>
              </w:rPr>
              <w:lastRenderedPageBreak/>
              <w:t>1.Operating Margin</w:t>
            </w:r>
          </w:p>
        </w:tc>
        <w:tc>
          <w:tcPr>
            <w:tcW w:w="2126" w:type="dxa"/>
            <w:vAlign w:val="center"/>
          </w:tcPr>
          <w:p w14:paraId="6723D93E"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rPr>
              <w:t>Operating Margin = Operating Profit / Revenue</w:t>
            </w:r>
          </w:p>
        </w:tc>
        <w:tc>
          <w:tcPr>
            <w:tcW w:w="1418" w:type="dxa"/>
            <w:vAlign w:val="center"/>
          </w:tcPr>
          <w:p w14:paraId="65521336" w14:textId="77777777" w:rsidR="000353B1" w:rsidRDefault="00B84A77">
            <w:pPr>
              <w:spacing w:after="0"/>
              <w:jc w:val="center"/>
              <w:rPr>
                <w:rFonts w:ascii="Arial" w:eastAsia="Arial" w:hAnsi="Arial"/>
                <w:color w:val="000000"/>
              </w:rPr>
            </w:pPr>
            <w:r>
              <w:rPr>
                <w:rFonts w:ascii="Arial" w:eastAsia="Arial" w:hAnsi="Arial"/>
                <w:color w:val="000000"/>
              </w:rPr>
              <w:t>x &lt; 2.0%</w:t>
            </w:r>
          </w:p>
          <w:p w14:paraId="18B7E9D8"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6292B42C" w14:textId="78D30179"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 xml:space="preserve">120 </w:t>
            </w:r>
            <w:r>
              <w:rPr>
                <w:rFonts w:ascii="Arial" w:eastAsia="Arial" w:hAnsi="Arial"/>
                <w:i/>
                <w:sz w:val="24"/>
                <w:szCs w:val="24"/>
              </w:rPr>
              <w:t>days of each accounting reference date based upon figures for the 12 months ending on the relevant accounting reference date</w:t>
            </w:r>
          </w:p>
        </w:tc>
      </w:tr>
      <w:tr w:rsidR="000353B1" w14:paraId="1829DF1B" w14:textId="77777777">
        <w:tc>
          <w:tcPr>
            <w:tcW w:w="2405" w:type="dxa"/>
            <w:vAlign w:val="center"/>
          </w:tcPr>
          <w:p w14:paraId="54778CED"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2. Net Debt to EBITDA Ratio</w:t>
            </w:r>
          </w:p>
        </w:tc>
        <w:tc>
          <w:tcPr>
            <w:tcW w:w="2126" w:type="dxa"/>
            <w:vAlign w:val="center"/>
          </w:tcPr>
          <w:p w14:paraId="096646D4"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rPr>
              <w:t>Net Debt to EBITDA ratio = Net Debt / EBITDA</w:t>
            </w:r>
          </w:p>
        </w:tc>
        <w:tc>
          <w:tcPr>
            <w:tcW w:w="1418" w:type="dxa"/>
            <w:vAlign w:val="center"/>
          </w:tcPr>
          <w:p w14:paraId="33B7E79E" w14:textId="77777777" w:rsidR="000353B1" w:rsidRDefault="00B84A77">
            <w:pPr>
              <w:spacing w:after="0"/>
              <w:jc w:val="center"/>
              <w:rPr>
                <w:rFonts w:ascii="Arial" w:eastAsia="Arial" w:hAnsi="Arial"/>
                <w:color w:val="000000"/>
              </w:rPr>
            </w:pPr>
            <w:r>
              <w:rPr>
                <w:rFonts w:ascii="Arial" w:eastAsia="Arial" w:hAnsi="Arial"/>
                <w:color w:val="000000"/>
              </w:rPr>
              <w:t>x &gt; 3.5</w:t>
            </w:r>
          </w:p>
          <w:p w14:paraId="313D5F82"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1A85C02B" w14:textId="2E08C674"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120</w:t>
            </w:r>
            <w:r>
              <w:rPr>
                <w:rFonts w:ascii="Arial" w:eastAsia="Arial" w:hAnsi="Arial"/>
                <w:i/>
                <w:sz w:val="24"/>
                <w:szCs w:val="24"/>
              </w:rPr>
              <w:t xml:space="preserve"> days of each accounting reference date based upon EBITDA for the 12 months ending on, and Net Debt at, the relevant accounting reference date</w:t>
            </w:r>
          </w:p>
        </w:tc>
      </w:tr>
      <w:tr w:rsidR="000353B1" w14:paraId="0D8FC256" w14:textId="77777777">
        <w:tc>
          <w:tcPr>
            <w:tcW w:w="2405" w:type="dxa"/>
            <w:vAlign w:val="center"/>
          </w:tcPr>
          <w:p w14:paraId="1960CC1A"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3. Net Debt + Net Pension Deficit to EBITDA ratio</w:t>
            </w:r>
          </w:p>
        </w:tc>
        <w:tc>
          <w:tcPr>
            <w:tcW w:w="2126" w:type="dxa"/>
            <w:vAlign w:val="center"/>
          </w:tcPr>
          <w:p w14:paraId="3182CB40" w14:textId="77777777" w:rsidR="000353B1" w:rsidRDefault="00B84A77">
            <w:pPr>
              <w:pBdr>
                <w:top w:val="nil"/>
                <w:left w:val="nil"/>
                <w:bottom w:val="nil"/>
                <w:right w:val="nil"/>
                <w:between w:val="nil"/>
              </w:pBdr>
              <w:spacing w:before="100" w:after="200"/>
              <w:jc w:val="center"/>
              <w:rPr>
                <w:rFonts w:ascii="Arial" w:eastAsia="Arial" w:hAnsi="Arial"/>
              </w:rPr>
            </w:pPr>
            <w:r>
              <w:rPr>
                <w:rFonts w:ascii="Arial" w:eastAsia="Arial" w:hAnsi="Arial"/>
              </w:rPr>
              <w:t>Net Debt + Net Pension Deficit to EBITDA Ratio = (Net Debt + Net Pension Deficit) / EBITDA</w:t>
            </w:r>
          </w:p>
        </w:tc>
        <w:tc>
          <w:tcPr>
            <w:tcW w:w="1418" w:type="dxa"/>
            <w:vAlign w:val="center"/>
          </w:tcPr>
          <w:p w14:paraId="01BC2CDF" w14:textId="77777777" w:rsidR="000353B1" w:rsidRDefault="00B84A77">
            <w:pPr>
              <w:spacing w:after="0"/>
              <w:jc w:val="center"/>
              <w:rPr>
                <w:rFonts w:ascii="Arial" w:eastAsia="Arial" w:hAnsi="Arial"/>
                <w:color w:val="000000"/>
              </w:rPr>
            </w:pPr>
            <w:r>
              <w:rPr>
                <w:rFonts w:ascii="Arial" w:eastAsia="Arial" w:hAnsi="Arial"/>
                <w:color w:val="000000"/>
              </w:rPr>
              <w:t>x &gt; 3.5</w:t>
            </w:r>
          </w:p>
          <w:p w14:paraId="2B121997"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706C80A2" w14:textId="214D70F7"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120</w:t>
            </w:r>
            <w:r>
              <w:rPr>
                <w:rFonts w:ascii="Arial" w:eastAsia="Arial" w:hAnsi="Arial"/>
                <w:i/>
                <w:sz w:val="24"/>
                <w:szCs w:val="24"/>
              </w:rPr>
              <w:t xml:space="preserve"> days of each accounting reference date based upon EBITDA for the 12 months ending on, and the Net Debt and Net Pension Deficit at, the relevant accounting reference date</w:t>
            </w:r>
          </w:p>
        </w:tc>
      </w:tr>
      <w:tr w:rsidR="000353B1" w14:paraId="18C38EE2" w14:textId="77777777">
        <w:tc>
          <w:tcPr>
            <w:tcW w:w="2405" w:type="dxa"/>
            <w:vAlign w:val="center"/>
          </w:tcPr>
          <w:p w14:paraId="5F1F1DE7"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4. Net Interest Paid Cover</w:t>
            </w:r>
          </w:p>
        </w:tc>
        <w:tc>
          <w:tcPr>
            <w:tcW w:w="2126" w:type="dxa"/>
            <w:vAlign w:val="center"/>
          </w:tcPr>
          <w:p w14:paraId="47CB1DC1"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rPr>
              <w:t>Net Interest Paid Cover = Earnings Before Interest and Tax / Net Interest Paid</w:t>
            </w:r>
          </w:p>
        </w:tc>
        <w:tc>
          <w:tcPr>
            <w:tcW w:w="1418" w:type="dxa"/>
            <w:vAlign w:val="center"/>
          </w:tcPr>
          <w:p w14:paraId="56415219" w14:textId="77777777" w:rsidR="000353B1" w:rsidRDefault="00B84A77">
            <w:pPr>
              <w:spacing w:after="0"/>
              <w:jc w:val="center"/>
              <w:rPr>
                <w:rFonts w:ascii="Arial" w:eastAsia="Arial" w:hAnsi="Arial"/>
                <w:color w:val="000000"/>
              </w:rPr>
            </w:pPr>
            <w:r>
              <w:rPr>
                <w:rFonts w:ascii="Arial" w:eastAsia="Arial" w:hAnsi="Arial"/>
                <w:color w:val="000000"/>
              </w:rPr>
              <w:t>x &lt; 3</w:t>
            </w:r>
          </w:p>
          <w:p w14:paraId="22F772E2"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09FF0DDD" w14:textId="17C5A8AC"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120</w:t>
            </w:r>
            <w:r>
              <w:rPr>
                <w:rFonts w:ascii="Arial" w:eastAsia="Arial" w:hAnsi="Arial"/>
                <w:i/>
                <w:sz w:val="24"/>
                <w:szCs w:val="24"/>
              </w:rPr>
              <w:t xml:space="preserve"> days of each accounting reference date based upon figures for the 12 months ending on the relevant accounting reference date</w:t>
            </w:r>
          </w:p>
        </w:tc>
      </w:tr>
      <w:tr w:rsidR="000353B1" w14:paraId="646E4DDB" w14:textId="77777777">
        <w:tc>
          <w:tcPr>
            <w:tcW w:w="2405" w:type="dxa"/>
            <w:vAlign w:val="center"/>
          </w:tcPr>
          <w:p w14:paraId="214D4567"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5. Acid Ratio</w:t>
            </w:r>
          </w:p>
        </w:tc>
        <w:tc>
          <w:tcPr>
            <w:tcW w:w="2126" w:type="dxa"/>
            <w:vAlign w:val="center"/>
          </w:tcPr>
          <w:p w14:paraId="2C6C36F8" w14:textId="77777777" w:rsidR="000353B1" w:rsidRDefault="00B84A77">
            <w:pPr>
              <w:pBdr>
                <w:top w:val="nil"/>
                <w:left w:val="nil"/>
                <w:bottom w:val="nil"/>
                <w:right w:val="nil"/>
                <w:between w:val="nil"/>
              </w:pBdr>
              <w:spacing w:before="100" w:after="200"/>
              <w:jc w:val="center"/>
              <w:rPr>
                <w:rFonts w:ascii="Arial" w:eastAsia="Arial" w:hAnsi="Arial"/>
              </w:rPr>
            </w:pPr>
            <w:r>
              <w:rPr>
                <w:rFonts w:ascii="Arial" w:eastAsia="Arial" w:hAnsi="Arial"/>
              </w:rPr>
              <w:t>Acid Ratio = (Current Assets – Inventories) / Current Liabilities</w:t>
            </w:r>
          </w:p>
        </w:tc>
        <w:tc>
          <w:tcPr>
            <w:tcW w:w="1418" w:type="dxa"/>
            <w:vAlign w:val="center"/>
          </w:tcPr>
          <w:p w14:paraId="4E85848F" w14:textId="77777777" w:rsidR="000353B1" w:rsidRDefault="00B84A77">
            <w:pPr>
              <w:spacing w:after="0"/>
              <w:jc w:val="center"/>
              <w:rPr>
                <w:rFonts w:ascii="Arial" w:eastAsia="Arial" w:hAnsi="Arial"/>
                <w:color w:val="000000"/>
              </w:rPr>
            </w:pPr>
            <w:r>
              <w:rPr>
                <w:rFonts w:ascii="Arial" w:eastAsia="Arial" w:hAnsi="Arial"/>
                <w:color w:val="000000"/>
              </w:rPr>
              <w:t>x &lt; 0.8</w:t>
            </w:r>
          </w:p>
          <w:p w14:paraId="733B5230"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45CCFF63" w14:textId="6A4C65D0" w:rsidR="000353B1" w:rsidRDefault="00B84A77">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 xml:space="preserve">120 </w:t>
            </w:r>
            <w:r>
              <w:rPr>
                <w:rFonts w:ascii="Arial" w:eastAsia="Arial" w:hAnsi="Arial"/>
                <w:i/>
                <w:sz w:val="24"/>
                <w:szCs w:val="24"/>
              </w:rPr>
              <w:t>days of each accounting reference date based upon figures at the relevant accounting reference date</w:t>
            </w:r>
          </w:p>
        </w:tc>
      </w:tr>
    </w:tbl>
    <w:p w14:paraId="4B00066A" w14:textId="77777777" w:rsidR="000353B1" w:rsidRDefault="000353B1">
      <w:pPr>
        <w:pBdr>
          <w:top w:val="nil"/>
          <w:left w:val="nil"/>
          <w:bottom w:val="nil"/>
          <w:right w:val="nil"/>
          <w:between w:val="nil"/>
        </w:pBdr>
        <w:tabs>
          <w:tab w:val="left" w:pos="142"/>
        </w:tabs>
        <w:spacing w:before="120"/>
        <w:rPr>
          <w:rFonts w:ascii="Arial" w:eastAsia="Arial" w:hAnsi="Arial"/>
          <w:color w:val="000000"/>
          <w:sz w:val="24"/>
          <w:szCs w:val="24"/>
        </w:rPr>
      </w:pPr>
    </w:p>
    <w:p w14:paraId="5B02F06A" w14:textId="77777777" w:rsidR="000353B1" w:rsidRDefault="00B84A77">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lastRenderedPageBreak/>
        <w:t>Key: 1 – see Annex 3 to this Schedule which sets out the calculation methodology to be used in the calculation of each financial indicator.</w:t>
      </w:r>
    </w:p>
    <w:p w14:paraId="5AB41F8C" w14:textId="77777777" w:rsidR="000353B1" w:rsidRDefault="000353B1">
      <w:pPr>
        <w:pBdr>
          <w:top w:val="nil"/>
          <w:left w:val="nil"/>
          <w:bottom w:val="nil"/>
          <w:right w:val="nil"/>
          <w:between w:val="nil"/>
        </w:pBdr>
        <w:tabs>
          <w:tab w:val="left" w:pos="1134"/>
        </w:tabs>
        <w:spacing w:before="120" w:after="120"/>
        <w:ind w:left="360" w:hanging="1004"/>
        <w:jc w:val="left"/>
        <w:rPr>
          <w:color w:val="000000"/>
        </w:rPr>
      </w:pPr>
    </w:p>
    <w:p w14:paraId="4B2B2BDB" w14:textId="77777777" w:rsidR="000353B1" w:rsidRDefault="00B84A77" w:rsidP="00A87EA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Termination rights</w:t>
      </w:r>
    </w:p>
    <w:p w14:paraId="523E3CE9" w14:textId="77777777" w:rsidR="000353B1" w:rsidRDefault="00B84A77" w:rsidP="00A87EA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38B39402" w14:textId="77777777" w:rsidR="000353B1" w:rsidRDefault="00B84A77" w:rsidP="00A87EA5">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w:t>
      </w:r>
      <w:proofErr w:type="gramStart"/>
      <w:r>
        <w:rPr>
          <w:rFonts w:ascii="Arial" w:eastAsia="Arial" w:hAnsi="Arial"/>
          <w:color w:val="000000"/>
          <w:sz w:val="24"/>
          <w:szCs w:val="24"/>
        </w:rPr>
        <w:t>2.3(c);</w:t>
      </w:r>
      <w:proofErr w:type="gramEnd"/>
    </w:p>
    <w:p w14:paraId="5C41D0A4" w14:textId="77777777" w:rsidR="000353B1" w:rsidRDefault="00B84A77" w:rsidP="00A87EA5">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14:paraId="63EDFB18" w14:textId="77777777" w:rsidR="000353B1" w:rsidRDefault="00B84A77" w:rsidP="00A87EA5">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4.6(c),</w:t>
      </w:r>
    </w:p>
    <w:p w14:paraId="3BC6A78D" w14:textId="77777777" w:rsidR="000353B1" w:rsidRDefault="00B84A77" w:rsidP="00A87EA5">
      <w:p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sz w:val="24"/>
          <w:szCs w:val="24"/>
        </w:rPr>
        <w:tab/>
      </w:r>
      <w:r>
        <w:rPr>
          <w:rFonts w:ascii="Arial" w:eastAsia="Arial" w:hAnsi="Arial"/>
          <w:sz w:val="24"/>
          <w:szCs w:val="24"/>
        </w:rPr>
        <w:tab/>
      </w:r>
      <w:r>
        <w:rPr>
          <w:rFonts w:ascii="Arial" w:eastAsia="Arial" w:hAnsi="Arial"/>
          <w:color w:val="000000"/>
          <w:sz w:val="24"/>
          <w:szCs w:val="24"/>
        </w:rPr>
        <w:t>which shall be deemed to be an event to which Clause 10.4.1 of the Core Terms applies and Clauses 10.6.1 and 10.6.2 of the Core Terms shall apply accordingly.</w:t>
      </w:r>
    </w:p>
    <w:p w14:paraId="4F16B246" w14:textId="77777777" w:rsidR="000353B1" w:rsidRDefault="00B84A77">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Primacy of Credit Ratings</w:t>
      </w:r>
    </w:p>
    <w:p w14:paraId="34C21068" w14:textId="77777777" w:rsidR="000353B1" w:rsidRDefault="00B84A77" w:rsidP="00DC22A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3.1(b) to 3.1(g), the Rating Agencies review and report subsequently that the credit ratings for the FDE Group entities do not drop below the relevant Credit Rating Thresholds specified for those entities in Annex 2 to this Schedule, then:</w:t>
      </w:r>
    </w:p>
    <w:p w14:paraId="13FC2B9E"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4C220AF7"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4.3(b)(ii).</w:t>
      </w:r>
    </w:p>
    <w:p w14:paraId="510B72E8" w14:textId="77777777" w:rsidR="000353B1" w:rsidRDefault="00B84A77" w:rsidP="00DC22A1">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Board confirmation</w:t>
      </w:r>
    </w:p>
    <w:p w14:paraId="3F440B91" w14:textId="77777777" w:rsidR="000353B1" w:rsidRDefault="00B84A77" w:rsidP="00DC22A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If the Contract has been specified as a Critical Service Contract under Paragraph 2.1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307C98FC"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14:paraId="3705D72F"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14:paraId="761D0588" w14:textId="77777777" w:rsidR="000353B1" w:rsidRDefault="00B84A77" w:rsidP="00792A90">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lastRenderedPageBreak/>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526A1BFB" w14:textId="77777777" w:rsidR="000353B1" w:rsidRDefault="00B84A77" w:rsidP="00792A90">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4BC0437A" w14:textId="77777777" w:rsidR="000353B1" w:rsidRDefault="00B84A77" w:rsidP="00792A90">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1672A2D3" w14:textId="77777777" w:rsidR="000353B1" w:rsidRDefault="000353B1">
      <w:pPr>
        <w:pBdr>
          <w:top w:val="nil"/>
          <w:left w:val="nil"/>
          <w:bottom w:val="nil"/>
          <w:right w:val="nil"/>
          <w:between w:val="nil"/>
        </w:pBdr>
        <w:tabs>
          <w:tab w:val="left" w:pos="142"/>
        </w:tabs>
        <w:spacing w:before="120"/>
        <w:ind w:left="360" w:hanging="360"/>
        <w:rPr>
          <w:b/>
          <w:smallCaps/>
          <w:color w:val="000000"/>
        </w:rPr>
      </w:pPr>
    </w:p>
    <w:p w14:paraId="46DD4933" w14:textId="77777777" w:rsidR="000353B1" w:rsidRDefault="00B84A77">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14:paraId="324E0D7C" w14:textId="77777777" w:rsidR="000353B1" w:rsidRDefault="00B84A7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and Bradstreet</w:t>
      </w:r>
    </w:p>
    <w:p w14:paraId="77680D5C" w14:textId="77777777" w:rsidR="000353B1" w:rsidRDefault="000353B1">
      <w:pPr>
        <w:keepNext/>
        <w:pBdr>
          <w:top w:val="nil"/>
          <w:left w:val="nil"/>
          <w:bottom w:val="nil"/>
          <w:right w:val="nil"/>
          <w:between w:val="nil"/>
        </w:pBdr>
        <w:spacing w:before="240" w:after="120"/>
        <w:ind w:left="142"/>
        <w:jc w:val="left"/>
        <w:rPr>
          <w:rFonts w:ascii="Arial" w:eastAsia="Arial" w:hAnsi="Arial"/>
          <w:color w:val="000000"/>
          <w:sz w:val="24"/>
          <w:szCs w:val="24"/>
        </w:rPr>
      </w:pPr>
    </w:p>
    <w:p w14:paraId="6DD56EEA" w14:textId="77777777" w:rsidR="000353B1" w:rsidRDefault="00B84A77">
      <w:pPr>
        <w:spacing w:after="200" w:line="276" w:lineRule="auto"/>
        <w:jc w:val="left"/>
        <w:rPr>
          <w:rFonts w:ascii="Arial" w:eastAsia="Arial" w:hAnsi="Arial"/>
          <w:sz w:val="24"/>
          <w:szCs w:val="24"/>
        </w:rPr>
      </w:pPr>
      <w:r>
        <w:br w:type="page"/>
      </w:r>
    </w:p>
    <w:p w14:paraId="300D07D0" w14:textId="77777777" w:rsidR="000353B1" w:rsidRDefault="00B84A77">
      <w:pPr>
        <w:pBdr>
          <w:top w:val="nil"/>
          <w:left w:val="nil"/>
          <w:bottom w:val="nil"/>
          <w:right w:val="nil"/>
          <w:between w:val="nil"/>
        </w:pBdr>
        <w:spacing w:before="100" w:after="300"/>
        <w:rPr>
          <w:rFonts w:ascii="Arial" w:eastAsia="Arial" w:hAnsi="Arial"/>
          <w:b/>
          <w:smallCaps/>
          <w:sz w:val="24"/>
          <w:szCs w:val="24"/>
        </w:rPr>
      </w:pPr>
      <w:bookmarkStart w:id="3" w:name="_heading=h.1fob9te" w:colFirst="0" w:colLast="0"/>
      <w:bookmarkEnd w:id="3"/>
      <w:r>
        <w:rPr>
          <w:rFonts w:ascii="Arial" w:eastAsia="Arial" w:hAnsi="Arial"/>
          <w:b/>
          <w:color w:val="000000"/>
          <w:sz w:val="24"/>
          <w:szCs w:val="24"/>
        </w:rPr>
        <w:lastRenderedPageBreak/>
        <w:t>Annex 2</w:t>
      </w:r>
      <w:r>
        <w:rPr>
          <w:rFonts w:ascii="Arial" w:eastAsia="Arial" w:hAnsi="Arial"/>
          <w:b/>
          <w:smallCaps/>
          <w:color w:val="000000"/>
          <w:sz w:val="24"/>
          <w:szCs w:val="24"/>
        </w:rPr>
        <w:t xml:space="preserve">: </w:t>
      </w:r>
      <w:r>
        <w:rPr>
          <w:rFonts w:ascii="Arial" w:eastAsia="Arial" w:hAnsi="Arial"/>
          <w:b/>
          <w:color w:val="000000"/>
          <w:sz w:val="24"/>
          <w:szCs w:val="24"/>
        </w:rPr>
        <w:t>Credit Ratings and Credit Rating Thresholds</w:t>
      </w:r>
    </w:p>
    <w:p w14:paraId="7EF17353" w14:textId="77777777" w:rsidR="000353B1" w:rsidRDefault="00B84A77">
      <w:pPr>
        <w:keepNext/>
        <w:ind w:firstLine="426"/>
        <w:jc w:val="left"/>
        <w:rPr>
          <w:rFonts w:ascii="Arial" w:eastAsia="Arial" w:hAnsi="Arial"/>
          <w:b/>
          <w:smallCaps/>
          <w:strike/>
          <w:sz w:val="24"/>
          <w:szCs w:val="24"/>
        </w:rPr>
      </w:pPr>
      <w:r>
        <w:rPr>
          <w:rFonts w:ascii="Arial" w:eastAsia="Arial" w:hAnsi="Arial"/>
          <w:b/>
          <w:strike/>
          <w:sz w:val="24"/>
          <w:szCs w:val="24"/>
        </w:rPr>
        <w:t>Part 1: Current Rating - Lot 1a, 2a and 3a</w:t>
      </w:r>
    </w:p>
    <w:tbl>
      <w:tblPr>
        <w:tblStyle w:val="aff5"/>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62F6B6AE" w14:textId="77777777">
        <w:tc>
          <w:tcPr>
            <w:tcW w:w="3080" w:type="dxa"/>
            <w:tcBorders>
              <w:top w:val="single" w:sz="4" w:space="0" w:color="000000"/>
            </w:tcBorders>
            <w:shd w:val="clear" w:color="auto" w:fill="FFFFFF"/>
          </w:tcPr>
          <w:p w14:paraId="0FE24346"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Entity</w:t>
            </w:r>
          </w:p>
        </w:tc>
        <w:tc>
          <w:tcPr>
            <w:tcW w:w="3081" w:type="dxa"/>
            <w:tcBorders>
              <w:top w:val="single" w:sz="4" w:space="0" w:color="000000"/>
            </w:tcBorders>
            <w:shd w:val="clear" w:color="auto" w:fill="FFFFFF"/>
          </w:tcPr>
          <w:p w14:paraId="763B7B51"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Credit rating (long term)</w:t>
            </w:r>
          </w:p>
        </w:tc>
      </w:tr>
      <w:tr w:rsidR="000353B1" w14:paraId="4E9C18E5" w14:textId="77777777">
        <w:tc>
          <w:tcPr>
            <w:tcW w:w="3080" w:type="dxa"/>
            <w:shd w:val="clear" w:color="auto" w:fill="FFFFFF"/>
          </w:tcPr>
          <w:p w14:paraId="2DCB0C8D"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Supplier</w:t>
            </w:r>
          </w:p>
        </w:tc>
        <w:tc>
          <w:tcPr>
            <w:tcW w:w="3081" w:type="dxa"/>
            <w:shd w:val="clear" w:color="auto" w:fill="FFFFFF"/>
          </w:tcPr>
          <w:p w14:paraId="61AD40CE"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45</w:t>
            </w:r>
          </w:p>
        </w:tc>
      </w:tr>
      <w:tr w:rsidR="000353B1" w14:paraId="5645F62B" w14:textId="77777777">
        <w:tc>
          <w:tcPr>
            <w:tcW w:w="3080" w:type="dxa"/>
            <w:shd w:val="clear" w:color="auto" w:fill="FFFFFF"/>
          </w:tcPr>
          <w:p w14:paraId="5573DEE9"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81" w:type="dxa"/>
            <w:shd w:val="clear" w:color="auto" w:fill="FFFFFF"/>
          </w:tcPr>
          <w:p w14:paraId="593B62B1" w14:textId="77777777" w:rsidR="000353B1" w:rsidRDefault="000353B1">
            <w:pPr>
              <w:keepNext/>
              <w:spacing w:before="240" w:after="120"/>
              <w:ind w:left="142"/>
              <w:jc w:val="left"/>
              <w:rPr>
                <w:rFonts w:ascii="Arial" w:eastAsia="Arial" w:hAnsi="Arial"/>
                <w:strike/>
                <w:sz w:val="24"/>
                <w:szCs w:val="24"/>
              </w:rPr>
            </w:pPr>
          </w:p>
        </w:tc>
      </w:tr>
      <w:tr w:rsidR="000353B1" w14:paraId="5DD6A38E" w14:textId="77777777">
        <w:tc>
          <w:tcPr>
            <w:tcW w:w="3080" w:type="dxa"/>
            <w:tcBorders>
              <w:bottom w:val="single" w:sz="4" w:space="0" w:color="000000"/>
            </w:tcBorders>
            <w:shd w:val="clear" w:color="auto" w:fill="FFFFFF"/>
          </w:tcPr>
          <w:p w14:paraId="5501AF9A"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[Key Subcontractor]</w:t>
            </w:r>
          </w:p>
        </w:tc>
        <w:tc>
          <w:tcPr>
            <w:tcW w:w="3081" w:type="dxa"/>
            <w:tcBorders>
              <w:bottom w:val="single" w:sz="4" w:space="0" w:color="000000"/>
            </w:tcBorders>
            <w:shd w:val="clear" w:color="auto" w:fill="FFFFFF"/>
          </w:tcPr>
          <w:p w14:paraId="3CBA9AEF" w14:textId="77777777" w:rsidR="000353B1" w:rsidRDefault="000353B1">
            <w:pPr>
              <w:keepNext/>
              <w:spacing w:before="240" w:after="120"/>
              <w:ind w:left="142"/>
              <w:jc w:val="left"/>
              <w:rPr>
                <w:rFonts w:ascii="Arial" w:eastAsia="Arial" w:hAnsi="Arial"/>
                <w:strike/>
                <w:sz w:val="24"/>
                <w:szCs w:val="24"/>
              </w:rPr>
            </w:pPr>
          </w:p>
        </w:tc>
      </w:tr>
    </w:tbl>
    <w:p w14:paraId="0E4D6B89" w14:textId="77777777" w:rsidR="000353B1" w:rsidRDefault="000353B1">
      <w:pPr>
        <w:spacing w:after="0"/>
        <w:rPr>
          <w:rFonts w:ascii="Arial" w:eastAsia="Arial" w:hAnsi="Arial"/>
          <w:strike/>
          <w:sz w:val="24"/>
          <w:szCs w:val="24"/>
        </w:rPr>
      </w:pPr>
    </w:p>
    <w:p w14:paraId="4B231E4B" w14:textId="77777777" w:rsidR="000353B1" w:rsidRDefault="000353B1">
      <w:pPr>
        <w:spacing w:after="0"/>
        <w:rPr>
          <w:rFonts w:ascii="Arial" w:eastAsia="Arial" w:hAnsi="Arial"/>
          <w:strike/>
          <w:sz w:val="24"/>
          <w:szCs w:val="24"/>
        </w:rPr>
      </w:pPr>
    </w:p>
    <w:p w14:paraId="1D4DED94" w14:textId="77777777" w:rsidR="000353B1" w:rsidRDefault="00B84A77">
      <w:pPr>
        <w:keepNext/>
        <w:jc w:val="left"/>
        <w:rPr>
          <w:rFonts w:ascii="Arial" w:eastAsia="Arial" w:hAnsi="Arial"/>
          <w:b/>
          <w:smallCaps/>
          <w:strike/>
          <w:sz w:val="24"/>
          <w:szCs w:val="24"/>
        </w:rPr>
      </w:pPr>
      <w:r>
        <w:rPr>
          <w:rFonts w:ascii="Arial" w:eastAsia="Arial" w:hAnsi="Arial"/>
          <w:b/>
          <w:strike/>
          <w:sz w:val="24"/>
          <w:szCs w:val="24"/>
        </w:rPr>
        <w:t>Current Rating - Lot 1b, 2b and 3b</w:t>
      </w:r>
    </w:p>
    <w:tbl>
      <w:tblPr>
        <w:tblStyle w:val="aff6"/>
        <w:tblW w:w="616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75"/>
        <w:gridCol w:w="3090"/>
      </w:tblGrid>
      <w:tr w:rsidR="000353B1" w14:paraId="4CD9830F" w14:textId="77777777">
        <w:tc>
          <w:tcPr>
            <w:tcW w:w="3075" w:type="dxa"/>
            <w:tcBorders>
              <w:top w:val="single" w:sz="4" w:space="0" w:color="000000"/>
            </w:tcBorders>
            <w:shd w:val="clear" w:color="auto" w:fill="FFFFFF"/>
          </w:tcPr>
          <w:p w14:paraId="51A0016F"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Entity</w:t>
            </w:r>
          </w:p>
        </w:tc>
        <w:tc>
          <w:tcPr>
            <w:tcW w:w="3090" w:type="dxa"/>
            <w:tcBorders>
              <w:top w:val="single" w:sz="4" w:space="0" w:color="000000"/>
            </w:tcBorders>
            <w:shd w:val="clear" w:color="auto" w:fill="FFFFFF"/>
          </w:tcPr>
          <w:p w14:paraId="0263E1C9"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Credit rating (long term)</w:t>
            </w:r>
          </w:p>
        </w:tc>
      </w:tr>
      <w:tr w:rsidR="000353B1" w14:paraId="682BB7B7" w14:textId="77777777">
        <w:tc>
          <w:tcPr>
            <w:tcW w:w="3075" w:type="dxa"/>
            <w:shd w:val="clear" w:color="auto" w:fill="FFFFFF"/>
          </w:tcPr>
          <w:p w14:paraId="4F85A247"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Supplier</w:t>
            </w:r>
          </w:p>
        </w:tc>
        <w:tc>
          <w:tcPr>
            <w:tcW w:w="3090" w:type="dxa"/>
            <w:shd w:val="clear" w:color="auto" w:fill="FFFFFF"/>
          </w:tcPr>
          <w:p w14:paraId="54AF67BE"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60</w:t>
            </w:r>
          </w:p>
        </w:tc>
      </w:tr>
      <w:tr w:rsidR="000353B1" w14:paraId="5611E85D" w14:textId="77777777">
        <w:tc>
          <w:tcPr>
            <w:tcW w:w="3075" w:type="dxa"/>
            <w:shd w:val="clear" w:color="auto" w:fill="FFFFFF"/>
          </w:tcPr>
          <w:p w14:paraId="7033E38F"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90" w:type="dxa"/>
            <w:shd w:val="clear" w:color="auto" w:fill="FFFFFF"/>
          </w:tcPr>
          <w:p w14:paraId="11ADDD5D" w14:textId="77777777" w:rsidR="000353B1" w:rsidRDefault="000353B1">
            <w:pPr>
              <w:keepNext/>
              <w:spacing w:before="240" w:after="120"/>
              <w:ind w:left="142"/>
              <w:jc w:val="left"/>
              <w:rPr>
                <w:rFonts w:ascii="Arial" w:eastAsia="Arial" w:hAnsi="Arial"/>
                <w:strike/>
                <w:sz w:val="24"/>
                <w:szCs w:val="24"/>
              </w:rPr>
            </w:pPr>
          </w:p>
        </w:tc>
      </w:tr>
      <w:tr w:rsidR="000353B1" w14:paraId="38D3E65E" w14:textId="77777777">
        <w:tc>
          <w:tcPr>
            <w:tcW w:w="3075" w:type="dxa"/>
            <w:tcBorders>
              <w:bottom w:val="single" w:sz="4" w:space="0" w:color="000000"/>
            </w:tcBorders>
            <w:shd w:val="clear" w:color="auto" w:fill="FFFFFF"/>
          </w:tcPr>
          <w:p w14:paraId="080C1EBE"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[Key Subcontractor]</w:t>
            </w:r>
          </w:p>
        </w:tc>
        <w:tc>
          <w:tcPr>
            <w:tcW w:w="3090" w:type="dxa"/>
            <w:tcBorders>
              <w:bottom w:val="single" w:sz="4" w:space="0" w:color="000000"/>
            </w:tcBorders>
            <w:shd w:val="clear" w:color="auto" w:fill="FFFFFF"/>
          </w:tcPr>
          <w:p w14:paraId="5404022A" w14:textId="77777777" w:rsidR="000353B1" w:rsidRDefault="000353B1">
            <w:pPr>
              <w:keepNext/>
              <w:spacing w:before="240" w:after="120"/>
              <w:ind w:left="142"/>
              <w:jc w:val="left"/>
              <w:rPr>
                <w:rFonts w:ascii="Arial" w:eastAsia="Arial" w:hAnsi="Arial"/>
                <w:strike/>
                <w:sz w:val="24"/>
                <w:szCs w:val="24"/>
              </w:rPr>
            </w:pPr>
          </w:p>
        </w:tc>
      </w:tr>
    </w:tbl>
    <w:p w14:paraId="34396736" w14:textId="77777777" w:rsidR="000353B1" w:rsidRDefault="000353B1">
      <w:pPr>
        <w:spacing w:after="0"/>
        <w:rPr>
          <w:rFonts w:ascii="Arial" w:eastAsia="Arial" w:hAnsi="Arial"/>
          <w:sz w:val="24"/>
          <w:szCs w:val="24"/>
        </w:rPr>
      </w:pPr>
    </w:p>
    <w:p w14:paraId="19394BE6" w14:textId="77777777" w:rsidR="000353B1" w:rsidRDefault="000353B1">
      <w:pPr>
        <w:spacing w:after="0"/>
        <w:rPr>
          <w:rFonts w:ascii="Arial" w:eastAsia="Arial" w:hAnsi="Arial"/>
          <w:sz w:val="24"/>
          <w:szCs w:val="24"/>
        </w:rPr>
      </w:pPr>
    </w:p>
    <w:p w14:paraId="462182C2" w14:textId="77777777" w:rsidR="000353B1" w:rsidRDefault="00B84A77">
      <w:pPr>
        <w:keepNext/>
        <w:jc w:val="left"/>
        <w:rPr>
          <w:rFonts w:ascii="Arial" w:eastAsia="Arial" w:hAnsi="Arial"/>
          <w:b/>
          <w:smallCaps/>
          <w:sz w:val="24"/>
          <w:szCs w:val="24"/>
        </w:rPr>
      </w:pPr>
      <w:r>
        <w:rPr>
          <w:rFonts w:ascii="Arial" w:eastAsia="Arial" w:hAnsi="Arial"/>
          <w:b/>
          <w:sz w:val="24"/>
          <w:szCs w:val="24"/>
        </w:rPr>
        <w:t>Current Rating - Lot 1c</w:t>
      </w:r>
      <w:r>
        <w:rPr>
          <w:rFonts w:ascii="Arial" w:eastAsia="Arial" w:hAnsi="Arial"/>
          <w:b/>
          <w:strike/>
          <w:sz w:val="24"/>
          <w:szCs w:val="24"/>
        </w:rPr>
        <w:t>, 2c and 3c</w:t>
      </w:r>
    </w:p>
    <w:tbl>
      <w:tblPr>
        <w:tblStyle w:val="aff7"/>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54A1F0AB" w14:textId="77777777">
        <w:tc>
          <w:tcPr>
            <w:tcW w:w="3080" w:type="dxa"/>
            <w:tcBorders>
              <w:top w:val="single" w:sz="4" w:space="0" w:color="000000"/>
            </w:tcBorders>
            <w:shd w:val="clear" w:color="auto" w:fill="FFFFFF"/>
          </w:tcPr>
          <w:p w14:paraId="0EA21BE7" w14:textId="77777777" w:rsidR="000353B1" w:rsidRDefault="00B84A77">
            <w:pPr>
              <w:keepNext/>
              <w:spacing w:before="240" w:after="120"/>
              <w:ind w:left="142"/>
              <w:jc w:val="left"/>
              <w:rPr>
                <w:rFonts w:ascii="Arial" w:eastAsia="Arial" w:hAnsi="Arial"/>
                <w:b/>
                <w:sz w:val="24"/>
                <w:szCs w:val="24"/>
              </w:rPr>
            </w:pPr>
            <w:r>
              <w:rPr>
                <w:rFonts w:ascii="Arial" w:eastAsia="Arial" w:hAnsi="Arial"/>
                <w:b/>
                <w:sz w:val="24"/>
                <w:szCs w:val="24"/>
              </w:rPr>
              <w:t>Entity</w:t>
            </w:r>
          </w:p>
        </w:tc>
        <w:tc>
          <w:tcPr>
            <w:tcW w:w="3081" w:type="dxa"/>
            <w:tcBorders>
              <w:top w:val="single" w:sz="4" w:space="0" w:color="000000"/>
            </w:tcBorders>
            <w:shd w:val="clear" w:color="auto" w:fill="FFFFFF"/>
          </w:tcPr>
          <w:p w14:paraId="7C153512" w14:textId="77777777" w:rsidR="000353B1" w:rsidRDefault="00B84A77">
            <w:pPr>
              <w:keepNext/>
              <w:spacing w:before="240" w:after="120"/>
              <w:ind w:left="142"/>
              <w:jc w:val="left"/>
              <w:rPr>
                <w:rFonts w:ascii="Arial" w:eastAsia="Arial" w:hAnsi="Arial"/>
                <w:b/>
                <w:sz w:val="24"/>
                <w:szCs w:val="24"/>
              </w:rPr>
            </w:pPr>
            <w:r>
              <w:rPr>
                <w:rFonts w:ascii="Arial" w:eastAsia="Arial" w:hAnsi="Arial"/>
                <w:b/>
                <w:sz w:val="24"/>
                <w:szCs w:val="24"/>
              </w:rPr>
              <w:t>Credit rating (long term)</w:t>
            </w:r>
          </w:p>
        </w:tc>
      </w:tr>
      <w:tr w:rsidR="000353B1" w14:paraId="26B169C8" w14:textId="77777777">
        <w:tc>
          <w:tcPr>
            <w:tcW w:w="3080" w:type="dxa"/>
            <w:shd w:val="clear" w:color="auto" w:fill="FFFFFF"/>
          </w:tcPr>
          <w:p w14:paraId="639AB725" w14:textId="77777777" w:rsidR="000353B1" w:rsidRDefault="00B84A77">
            <w:pPr>
              <w:keepNext/>
              <w:spacing w:before="240" w:after="120"/>
              <w:ind w:left="142"/>
              <w:jc w:val="left"/>
              <w:rPr>
                <w:rFonts w:ascii="Arial" w:eastAsia="Arial" w:hAnsi="Arial"/>
                <w:sz w:val="24"/>
                <w:szCs w:val="24"/>
              </w:rPr>
            </w:pPr>
            <w:r>
              <w:rPr>
                <w:rFonts w:ascii="Arial" w:eastAsia="Arial" w:hAnsi="Arial"/>
                <w:sz w:val="24"/>
                <w:szCs w:val="24"/>
              </w:rPr>
              <w:t>Supplier</w:t>
            </w:r>
          </w:p>
        </w:tc>
        <w:tc>
          <w:tcPr>
            <w:tcW w:w="3081" w:type="dxa"/>
            <w:shd w:val="clear" w:color="auto" w:fill="FFFFFF"/>
          </w:tcPr>
          <w:p w14:paraId="4170FD47" w14:textId="77777777" w:rsidR="000353B1" w:rsidRDefault="00B84A77">
            <w:pPr>
              <w:keepNext/>
              <w:spacing w:before="240" w:after="120"/>
              <w:ind w:left="142"/>
              <w:jc w:val="left"/>
              <w:rPr>
                <w:rFonts w:ascii="Arial" w:eastAsia="Arial" w:hAnsi="Arial"/>
                <w:sz w:val="24"/>
                <w:szCs w:val="24"/>
              </w:rPr>
            </w:pPr>
            <w:r>
              <w:rPr>
                <w:rFonts w:ascii="Arial" w:eastAsia="Arial" w:hAnsi="Arial"/>
                <w:sz w:val="24"/>
                <w:szCs w:val="24"/>
              </w:rPr>
              <w:t>70</w:t>
            </w:r>
          </w:p>
        </w:tc>
      </w:tr>
      <w:tr w:rsidR="000353B1" w14:paraId="69DDF55A" w14:textId="77777777">
        <w:tc>
          <w:tcPr>
            <w:tcW w:w="3080" w:type="dxa"/>
            <w:shd w:val="clear" w:color="auto" w:fill="FFFFFF"/>
          </w:tcPr>
          <w:p w14:paraId="7F33E117"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81" w:type="dxa"/>
            <w:shd w:val="clear" w:color="auto" w:fill="FFFFFF"/>
          </w:tcPr>
          <w:p w14:paraId="044F1B7B" w14:textId="77777777" w:rsidR="000353B1" w:rsidRDefault="000353B1">
            <w:pPr>
              <w:keepNext/>
              <w:spacing w:before="240" w:after="120"/>
              <w:ind w:left="142"/>
              <w:jc w:val="left"/>
              <w:rPr>
                <w:rFonts w:ascii="Arial" w:eastAsia="Arial" w:hAnsi="Arial"/>
                <w:strike/>
                <w:sz w:val="24"/>
                <w:szCs w:val="24"/>
              </w:rPr>
            </w:pPr>
          </w:p>
        </w:tc>
      </w:tr>
      <w:tr w:rsidR="000353B1" w14:paraId="356784C2" w14:textId="77777777">
        <w:tc>
          <w:tcPr>
            <w:tcW w:w="3080" w:type="dxa"/>
            <w:tcBorders>
              <w:bottom w:val="single" w:sz="4" w:space="0" w:color="000000"/>
            </w:tcBorders>
            <w:shd w:val="clear" w:color="auto" w:fill="FFFFFF"/>
          </w:tcPr>
          <w:p w14:paraId="031A7C54" w14:textId="77777777" w:rsidR="000353B1" w:rsidRDefault="00B84A77">
            <w:pPr>
              <w:keepNext/>
              <w:spacing w:before="240" w:after="120"/>
              <w:ind w:left="142"/>
              <w:jc w:val="left"/>
              <w:rPr>
                <w:rFonts w:ascii="Arial" w:eastAsia="Arial" w:hAnsi="Arial"/>
                <w:sz w:val="24"/>
                <w:szCs w:val="24"/>
                <w:highlight w:val="yellow"/>
              </w:rPr>
            </w:pPr>
            <w:r>
              <w:rPr>
                <w:rFonts w:ascii="Arial" w:eastAsia="Arial" w:hAnsi="Arial"/>
                <w:sz w:val="24"/>
                <w:szCs w:val="24"/>
              </w:rPr>
              <w:t>Key Subcontractor</w:t>
            </w:r>
          </w:p>
        </w:tc>
        <w:tc>
          <w:tcPr>
            <w:tcW w:w="3081" w:type="dxa"/>
            <w:tcBorders>
              <w:bottom w:val="single" w:sz="4" w:space="0" w:color="000000"/>
            </w:tcBorders>
            <w:shd w:val="clear" w:color="auto" w:fill="FFFFFF"/>
          </w:tcPr>
          <w:p w14:paraId="2A2054F2" w14:textId="77777777" w:rsidR="000353B1" w:rsidRDefault="00B84A77">
            <w:pPr>
              <w:keepNext/>
              <w:spacing w:before="240" w:after="120"/>
              <w:ind w:left="142"/>
              <w:jc w:val="left"/>
              <w:rPr>
                <w:rFonts w:ascii="Arial" w:eastAsia="Arial" w:hAnsi="Arial"/>
                <w:sz w:val="24"/>
                <w:szCs w:val="24"/>
              </w:rPr>
            </w:pPr>
            <w:r>
              <w:rPr>
                <w:rFonts w:ascii="Arial" w:eastAsia="Arial" w:hAnsi="Arial"/>
                <w:sz w:val="24"/>
                <w:szCs w:val="24"/>
              </w:rPr>
              <w:t>70</w:t>
            </w:r>
          </w:p>
        </w:tc>
      </w:tr>
    </w:tbl>
    <w:p w14:paraId="5F5CE3D6" w14:textId="77777777" w:rsidR="000353B1" w:rsidRDefault="000353B1">
      <w:pPr>
        <w:spacing w:after="0"/>
        <w:rPr>
          <w:rFonts w:ascii="Arial" w:eastAsia="Arial" w:hAnsi="Arial"/>
          <w:sz w:val="24"/>
          <w:szCs w:val="24"/>
        </w:rPr>
      </w:pPr>
    </w:p>
    <w:p w14:paraId="099D6F06" w14:textId="77777777" w:rsidR="000353B1" w:rsidRDefault="000353B1">
      <w:pPr>
        <w:pBdr>
          <w:top w:val="nil"/>
          <w:left w:val="nil"/>
          <w:bottom w:val="nil"/>
          <w:right w:val="nil"/>
          <w:between w:val="nil"/>
        </w:pBdr>
        <w:spacing w:before="100" w:after="300"/>
        <w:rPr>
          <w:rFonts w:ascii="Arial" w:eastAsia="Arial" w:hAnsi="Arial"/>
          <w:b/>
          <w:smallCaps/>
          <w:sz w:val="24"/>
          <w:szCs w:val="24"/>
        </w:rPr>
      </w:pPr>
      <w:bookmarkStart w:id="4" w:name="_heading=h.vh1ltlu5a5b" w:colFirst="0" w:colLast="0"/>
      <w:bookmarkEnd w:id="4"/>
    </w:p>
    <w:p w14:paraId="77B8EA54"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bookmarkStart w:id="5" w:name="_heading=h.3znysh7" w:colFirst="0" w:colLast="0"/>
      <w:bookmarkEnd w:id="5"/>
      <w:r>
        <w:rPr>
          <w:rFonts w:ascii="Arial" w:eastAsia="Arial" w:hAnsi="Arial"/>
          <w:b/>
          <w:color w:val="000000"/>
          <w:sz w:val="24"/>
          <w:szCs w:val="24"/>
        </w:rPr>
        <w:t>Annex 3: Calculation methodology for Financial Indicators</w:t>
      </w:r>
    </w:p>
    <w:p w14:paraId="0C029EB7"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The Supplier shall ensure that it uses the following general and specific methodologies for calculating the Financial Indicators against the Financial Target Thresholds:</w:t>
      </w:r>
    </w:p>
    <w:p w14:paraId="5B8F923E"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2DEA4478"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F51714F"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bookmarkStart w:id="6" w:name="_heading=h.2et92p0" w:colFirst="0" w:colLast="0"/>
      <w:bookmarkEnd w:id="6"/>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4274A2A4"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0F90373C"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14:paraId="2AA3C17B" w14:textId="77777777" w:rsidR="000353B1" w:rsidRDefault="00B84A77">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ff8"/>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0353B1" w14:paraId="7504F259" w14:textId="77777777">
        <w:tc>
          <w:tcPr>
            <w:tcW w:w="2538" w:type="dxa"/>
            <w:shd w:val="clear" w:color="auto" w:fill="D9D9D9"/>
          </w:tcPr>
          <w:p w14:paraId="67424680"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14:paraId="74978CE4"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0353B1" w14:paraId="2F63FB74" w14:textId="77777777">
        <w:trPr>
          <w:trHeight w:val="4875"/>
        </w:trPr>
        <w:tc>
          <w:tcPr>
            <w:tcW w:w="2538" w:type="dxa"/>
            <w:vAlign w:val="center"/>
          </w:tcPr>
          <w:p w14:paraId="59D23359"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7008B046"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14:paraId="185F708F"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14:paraId="206DCCA2"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14:paraId="2F501C8C"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0353B1" w14:paraId="28EF6289" w14:textId="77777777">
        <w:tc>
          <w:tcPr>
            <w:tcW w:w="2538" w:type="dxa"/>
          </w:tcPr>
          <w:p w14:paraId="29B26DC1"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3D294C12"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14:paraId="745828E6"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75260200"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E27C358"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667DDEDC"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5DB7A3D"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FED213E"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721325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F96411A"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24C4D13"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435A872"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98BEF64"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86B77DD"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DE23D64"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B59F294"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4BBFC06"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AC0270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18A52D6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13CA97D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E2EDB88"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6A8C97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446E5DA"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EECB86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1A6C44CE"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6985B7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DF8D843"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E8D76DB"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4157459"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61D2411"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14:paraId="66FD80AE"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14:paraId="263E919E"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14:paraId="49651E4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14:paraId="47479FB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21C767CE"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proofErr w:type="gramStart"/>
            <w:r>
              <w:rPr>
                <w:rFonts w:ascii="Arial" w:eastAsia="Arial" w:hAnsi="Arial"/>
                <w:color w:val="000000"/>
                <w:sz w:val="24"/>
                <w:szCs w:val="24"/>
              </w:rPr>
              <w:t>The majority of</w:t>
            </w:r>
            <w:proofErr w:type="gramEnd"/>
            <w:r>
              <w:rPr>
                <w:rFonts w:ascii="Arial" w:eastAsia="Arial" w:hAnsi="Arial"/>
                <w:color w:val="000000"/>
                <w:sz w:val="24"/>
                <w:szCs w:val="24"/>
              </w:rPr>
              <w:t xml:space="preserve"> the elements used to calculate the Free Cash Flow to Net Debt Ratio should be shown on the face of the Statement of Cash Flows and the Balance Sheet in a standard set of financial statements.</w:t>
            </w:r>
          </w:p>
          <w:p w14:paraId="79E61D61"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14:paraId="0C020063"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43D58A0A"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also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treated as borrowings as should, where disclosed, any liabilities (less any assets) in </w:t>
            </w:r>
            <w:proofErr w:type="gramStart"/>
            <w:r>
              <w:rPr>
                <w:rFonts w:ascii="Arial" w:eastAsia="Arial" w:hAnsi="Arial"/>
                <w:color w:val="000000"/>
                <w:sz w:val="24"/>
                <w:szCs w:val="24"/>
              </w:rPr>
              <w:t>respect  of</w:t>
            </w:r>
            <w:proofErr w:type="gramEnd"/>
            <w:r>
              <w:rPr>
                <w:rFonts w:ascii="Arial" w:eastAsia="Arial" w:hAnsi="Arial"/>
                <w:color w:val="000000"/>
                <w:sz w:val="24"/>
                <w:szCs w:val="24"/>
              </w:rPr>
              <w:t xml:space="preserve"> any hedges designated as linked to borrowings (but not non-designated hedges). Borrowings should also include balances owed to other group members.</w:t>
            </w:r>
          </w:p>
          <w:p w14:paraId="721D84AF"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717832B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2B3EB481"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14:paraId="1F9F95DA"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14:paraId="48448FA1"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0946FF9D"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03C8E1A3"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proofErr w:type="gramStart"/>
            <w:r>
              <w:rPr>
                <w:rFonts w:ascii="Arial" w:eastAsia="Arial" w:hAnsi="Arial"/>
                <w:color w:val="000000"/>
                <w:sz w:val="24"/>
                <w:szCs w:val="24"/>
              </w:rPr>
              <w:t>The majority of</w:t>
            </w:r>
            <w:proofErr w:type="gramEnd"/>
            <w:r>
              <w:rPr>
                <w:rFonts w:ascii="Arial" w:eastAsia="Arial" w:hAnsi="Arial"/>
                <w:color w:val="000000"/>
                <w:sz w:val="24"/>
                <w:szCs w:val="24"/>
              </w:rPr>
              <w:t xml:space="preserve"> the elements used to calculate the Net Debt to EBITDA Ratio should be shown on the face of the </w:t>
            </w:r>
            <w:r>
              <w:rPr>
                <w:rFonts w:ascii="Arial" w:eastAsia="Arial" w:hAnsi="Arial"/>
                <w:color w:val="000000"/>
                <w:sz w:val="24"/>
                <w:szCs w:val="24"/>
              </w:rPr>
              <w:lastRenderedPageBreak/>
              <w:t>Balance sheet, Income statement and Statement of Cash Flows in a standard set of financial statements but will otherwise be found in the notes to the financial statements.</w:t>
            </w:r>
          </w:p>
          <w:p w14:paraId="4C84D526"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1EF1EFB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42862250"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2EDF20F1"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14:paraId="40FF9B23"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bookmarkStart w:id="7" w:name="_heading=h.tyjcwt" w:colFirst="0" w:colLast="0"/>
            <w:bookmarkEnd w:id="7"/>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0353B1" w14:paraId="111354DC" w14:textId="77777777">
        <w:tc>
          <w:tcPr>
            <w:tcW w:w="2538" w:type="dxa"/>
          </w:tcPr>
          <w:p w14:paraId="02A3ECED"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14:paraId="65C4FAB1"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 xml:space="preserve">Net Debt + </w:t>
            </w:r>
            <w:proofErr w:type="gramStart"/>
            <w:r>
              <w:rPr>
                <w:rFonts w:ascii="Arial" w:eastAsia="Arial" w:hAnsi="Arial"/>
                <w:b/>
                <w:color w:val="000000"/>
                <w:sz w:val="24"/>
                <w:szCs w:val="24"/>
              </w:rPr>
              <w:t>Net  Pension</w:t>
            </w:r>
            <w:proofErr w:type="gramEnd"/>
            <w:r>
              <w:rPr>
                <w:rFonts w:ascii="Arial" w:eastAsia="Arial" w:hAnsi="Arial"/>
                <w:b/>
                <w:color w:val="000000"/>
                <w:sz w:val="24"/>
                <w:szCs w:val="24"/>
              </w:rPr>
              <w:t xml:space="preserve"> Deficit to EBITDA ratio</w:t>
            </w:r>
          </w:p>
        </w:tc>
        <w:tc>
          <w:tcPr>
            <w:tcW w:w="6478" w:type="dxa"/>
          </w:tcPr>
          <w:p w14:paraId="50D233CA"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2B19B4E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14:paraId="143E110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2C203733"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proofErr w:type="gramStart"/>
            <w:r>
              <w:rPr>
                <w:rFonts w:ascii="Arial" w:eastAsia="Arial" w:hAnsi="Arial"/>
                <w:color w:val="000000"/>
                <w:sz w:val="24"/>
                <w:szCs w:val="24"/>
              </w:rPr>
              <w:t>The majority of</w:t>
            </w:r>
            <w:proofErr w:type="gramEnd"/>
            <w:r>
              <w:rPr>
                <w:rFonts w:ascii="Arial" w:eastAsia="Arial" w:hAnsi="Arial"/>
                <w:color w:val="000000"/>
                <w:sz w:val="24"/>
                <w:szCs w:val="24"/>
              </w:rPr>
              <w:t xml:space="preserve"> the elements used to calculate the Net Debt + Net Pension Deficit to EBITDA Ratio should be shown on the face of the Balance sheet, Income statement and Statement of Cash Flows in a standard set of financial </w:t>
            </w:r>
            <w:r>
              <w:rPr>
                <w:rFonts w:ascii="Arial" w:eastAsia="Arial" w:hAnsi="Arial"/>
                <w:color w:val="000000"/>
                <w:sz w:val="24"/>
                <w:szCs w:val="24"/>
              </w:rPr>
              <w:lastRenderedPageBreak/>
              <w:t>statements but will otherwise be found in the notes to the financial statements.</w:t>
            </w:r>
          </w:p>
          <w:p w14:paraId="6AF26A74"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14:paraId="70EAD68E"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7C35ED82"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3BE5920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712015D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14:paraId="76F2F09C"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6105754D"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bookmarkStart w:id="8" w:name="_heading=h.3dy6vkm" w:colFirst="0" w:colLast="0"/>
            <w:bookmarkEnd w:id="8"/>
            <w:r>
              <w:rPr>
                <w:rFonts w:ascii="Arial" w:eastAsia="Arial" w:hAnsi="Arial"/>
                <w:color w:val="000000"/>
                <w:sz w:val="24"/>
                <w:szCs w:val="24"/>
              </w:rPr>
              <w:t xml:space="preserve">The depreciation and amortisation charges for the period may be found on the face of the Statement of Cash Flows or in a Note to the Accounts. </w:t>
            </w:r>
          </w:p>
          <w:p w14:paraId="2971E2B7"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0353B1" w14:paraId="5F7C30ED" w14:textId="77777777">
        <w:tc>
          <w:tcPr>
            <w:tcW w:w="2538" w:type="dxa"/>
            <w:vAlign w:val="center"/>
          </w:tcPr>
          <w:p w14:paraId="2DAB2F40"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1B406DFD"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14:paraId="11C83E2E"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14:paraId="4A063830"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14:paraId="6BA65C3B"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Operating profit should be shown on the face of the Income Statement in a standard set of financial statements </w:t>
            </w:r>
            <w:r>
              <w:rPr>
                <w:rFonts w:ascii="Arial" w:eastAsia="Arial" w:hAnsi="Arial"/>
                <w:color w:val="000000"/>
                <w:sz w:val="24"/>
                <w:szCs w:val="24"/>
              </w:rPr>
              <w:lastRenderedPageBreak/>
              <w:t>and, for the purposes of calculating this Financial Indicator, should include the entity’s share of the results of any joint ventures or Associates.</w:t>
            </w:r>
          </w:p>
          <w:p w14:paraId="682D389F"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14:paraId="29E208E6"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0353B1" w14:paraId="79F7BC75" w14:textId="77777777">
        <w:tc>
          <w:tcPr>
            <w:tcW w:w="2538" w:type="dxa"/>
            <w:vAlign w:val="center"/>
          </w:tcPr>
          <w:p w14:paraId="3A6DD7FA"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14:paraId="23037088"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14:paraId="5600DBA9"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0353B1" w14:paraId="27FA0FAE" w14:textId="77777777">
        <w:tc>
          <w:tcPr>
            <w:tcW w:w="2538" w:type="dxa"/>
            <w:vAlign w:val="center"/>
          </w:tcPr>
          <w:p w14:paraId="3005BB15" w14:textId="77777777" w:rsidR="000353B1" w:rsidRDefault="00B84A77">
            <w:pPr>
              <w:pBdr>
                <w:top w:val="nil"/>
                <w:left w:val="nil"/>
                <w:bottom w:val="nil"/>
                <w:right w:val="nil"/>
                <w:between w:val="nil"/>
              </w:pBdr>
              <w:spacing w:before="100" w:after="200"/>
              <w:jc w:val="left"/>
              <w:rPr>
                <w:rFonts w:ascii="Arial" w:eastAsia="Arial" w:hAnsi="Arial"/>
                <w:b/>
                <w:strike/>
                <w:color w:val="000000"/>
                <w:sz w:val="24"/>
                <w:szCs w:val="24"/>
              </w:rPr>
            </w:pPr>
            <w:r>
              <w:rPr>
                <w:rFonts w:ascii="Arial" w:eastAsia="Arial" w:hAnsi="Arial"/>
                <w:b/>
                <w:strike/>
                <w:color w:val="000000"/>
                <w:sz w:val="24"/>
                <w:szCs w:val="24"/>
              </w:rPr>
              <w:t>6</w:t>
            </w:r>
          </w:p>
          <w:p w14:paraId="66E6E1BA" w14:textId="77777777" w:rsidR="000353B1" w:rsidRDefault="00B84A77">
            <w:pPr>
              <w:pBdr>
                <w:top w:val="nil"/>
                <w:left w:val="nil"/>
                <w:bottom w:val="nil"/>
                <w:right w:val="nil"/>
                <w:between w:val="nil"/>
              </w:pBdr>
              <w:spacing w:before="100" w:after="200"/>
              <w:jc w:val="left"/>
              <w:rPr>
                <w:rFonts w:ascii="Arial" w:eastAsia="Arial" w:hAnsi="Arial"/>
                <w:b/>
                <w:strike/>
                <w:color w:val="000000"/>
                <w:sz w:val="24"/>
                <w:szCs w:val="24"/>
              </w:rPr>
            </w:pPr>
            <w:r>
              <w:rPr>
                <w:rFonts w:ascii="Arial" w:eastAsia="Arial" w:hAnsi="Arial"/>
                <w:b/>
                <w:strike/>
                <w:color w:val="000000"/>
                <w:sz w:val="24"/>
                <w:szCs w:val="24"/>
              </w:rPr>
              <w:t>[Net Asset value]</w:t>
            </w:r>
          </w:p>
        </w:tc>
        <w:tc>
          <w:tcPr>
            <w:tcW w:w="6478" w:type="dxa"/>
          </w:tcPr>
          <w:p w14:paraId="426E9940"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strike/>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0353B1" w14:paraId="07F432C3" w14:textId="77777777">
        <w:tc>
          <w:tcPr>
            <w:tcW w:w="2538" w:type="dxa"/>
            <w:vAlign w:val="center"/>
          </w:tcPr>
          <w:p w14:paraId="3F386179" w14:textId="77777777" w:rsidR="000353B1" w:rsidRDefault="00B84A77">
            <w:pPr>
              <w:pBdr>
                <w:top w:val="nil"/>
                <w:left w:val="nil"/>
                <w:bottom w:val="nil"/>
                <w:right w:val="nil"/>
                <w:between w:val="nil"/>
              </w:pBdr>
              <w:spacing w:before="100" w:after="200"/>
              <w:jc w:val="left"/>
              <w:rPr>
                <w:rFonts w:ascii="Arial" w:eastAsia="Arial" w:hAnsi="Arial"/>
                <w:b/>
                <w:strike/>
                <w:color w:val="000000"/>
                <w:sz w:val="24"/>
                <w:szCs w:val="24"/>
              </w:rPr>
            </w:pPr>
            <w:r>
              <w:rPr>
                <w:rFonts w:ascii="Arial" w:eastAsia="Arial" w:hAnsi="Arial"/>
                <w:b/>
                <w:strike/>
                <w:color w:val="000000"/>
                <w:sz w:val="24"/>
                <w:szCs w:val="24"/>
              </w:rPr>
              <w:t>7</w:t>
            </w:r>
          </w:p>
          <w:p w14:paraId="710041EF" w14:textId="77777777" w:rsidR="000353B1" w:rsidRDefault="00B84A77">
            <w:pPr>
              <w:pBdr>
                <w:top w:val="nil"/>
                <w:left w:val="nil"/>
                <w:bottom w:val="nil"/>
                <w:right w:val="nil"/>
                <w:between w:val="nil"/>
              </w:pBdr>
              <w:spacing w:before="100" w:after="200"/>
              <w:jc w:val="left"/>
              <w:rPr>
                <w:rFonts w:ascii="Arial" w:eastAsia="Arial" w:hAnsi="Arial"/>
                <w:b/>
                <w:strike/>
                <w:color w:val="000000"/>
                <w:sz w:val="24"/>
                <w:szCs w:val="24"/>
              </w:rPr>
            </w:pPr>
            <w:r>
              <w:rPr>
                <w:rFonts w:ascii="Arial" w:eastAsia="Arial" w:hAnsi="Arial"/>
                <w:b/>
                <w:strike/>
                <w:color w:val="000000"/>
                <w:sz w:val="24"/>
                <w:szCs w:val="24"/>
              </w:rPr>
              <w:t>[Group Exposure Ratio]</w:t>
            </w:r>
          </w:p>
        </w:tc>
        <w:tc>
          <w:tcPr>
            <w:tcW w:w="6478" w:type="dxa"/>
          </w:tcPr>
          <w:p w14:paraId="31EE6C01" w14:textId="77777777" w:rsidR="000353B1" w:rsidRDefault="00B84A77">
            <w:pPr>
              <w:pBdr>
                <w:top w:val="nil"/>
                <w:left w:val="nil"/>
                <w:bottom w:val="nil"/>
                <w:right w:val="nil"/>
                <w:between w:val="nil"/>
              </w:pBdr>
              <w:spacing w:before="100" w:after="200"/>
              <w:jc w:val="left"/>
              <w:rPr>
                <w:rFonts w:ascii="Arial" w:eastAsia="Arial" w:hAnsi="Arial"/>
                <w:i/>
                <w:strike/>
                <w:color w:val="000000"/>
                <w:sz w:val="24"/>
                <w:szCs w:val="24"/>
              </w:rPr>
            </w:pPr>
            <w:r>
              <w:rPr>
                <w:rFonts w:ascii="Arial" w:eastAsia="Arial" w:hAnsi="Arial"/>
                <w:i/>
                <w:strike/>
                <w:color w:val="000000"/>
                <w:sz w:val="24"/>
                <w:szCs w:val="24"/>
              </w:rPr>
              <w:t>[“</w:t>
            </w:r>
            <w:r>
              <w:rPr>
                <w:rFonts w:ascii="Arial" w:eastAsia="Arial" w:hAnsi="Arial"/>
                <w:b/>
                <w:i/>
                <w:strike/>
                <w:color w:val="000000"/>
                <w:sz w:val="24"/>
                <w:szCs w:val="24"/>
              </w:rPr>
              <w:t>Group Exposure</w:t>
            </w:r>
            <w:r>
              <w:rPr>
                <w:rFonts w:ascii="Arial" w:eastAsia="Arial" w:hAnsi="Arial"/>
                <w:i/>
                <w:strike/>
                <w:color w:val="000000"/>
                <w:sz w:val="24"/>
                <w:szCs w:val="24"/>
              </w:rPr>
              <w:t>” = Balances owed by Group Undertakings + Contingent liabilities assumed in support of Group Undertakings</w:t>
            </w:r>
          </w:p>
          <w:p w14:paraId="22B237B5" w14:textId="77777777" w:rsidR="000353B1" w:rsidRDefault="00B84A77">
            <w:pPr>
              <w:pBdr>
                <w:top w:val="nil"/>
                <w:left w:val="nil"/>
                <w:bottom w:val="nil"/>
                <w:right w:val="nil"/>
                <w:between w:val="nil"/>
              </w:pBdr>
              <w:spacing w:before="100" w:after="200"/>
              <w:jc w:val="left"/>
              <w:rPr>
                <w:rFonts w:ascii="Arial" w:eastAsia="Arial" w:hAnsi="Arial"/>
                <w:i/>
                <w:strike/>
                <w:color w:val="000000"/>
                <w:sz w:val="24"/>
                <w:szCs w:val="24"/>
              </w:rPr>
            </w:pPr>
            <w:r>
              <w:rPr>
                <w:rFonts w:ascii="Arial" w:eastAsia="Arial" w:hAnsi="Arial"/>
                <w:i/>
                <w:strike/>
                <w:color w:val="000000"/>
                <w:sz w:val="24"/>
                <w:szCs w:val="24"/>
              </w:rPr>
              <w:t>“</w:t>
            </w:r>
            <w:r>
              <w:rPr>
                <w:rFonts w:ascii="Arial" w:eastAsia="Arial" w:hAnsi="Arial"/>
                <w:b/>
                <w:i/>
                <w:strike/>
                <w:color w:val="000000"/>
                <w:sz w:val="24"/>
                <w:szCs w:val="24"/>
              </w:rPr>
              <w:t>Gross Assets</w:t>
            </w:r>
            <w:r>
              <w:rPr>
                <w:rFonts w:ascii="Arial" w:eastAsia="Arial" w:hAnsi="Arial"/>
                <w:i/>
                <w:strike/>
                <w:color w:val="000000"/>
                <w:sz w:val="24"/>
                <w:szCs w:val="24"/>
              </w:rPr>
              <w:t>” = Fixed Assets + Current Assets</w:t>
            </w:r>
          </w:p>
          <w:p w14:paraId="2A0FF053"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i/>
                <w:strike/>
                <w:color w:val="000000"/>
                <w:sz w:val="24"/>
                <w:szCs w:val="24"/>
                <w:u w:val="single"/>
              </w:rPr>
              <w:t>Group Exposure</w:t>
            </w:r>
            <w:r>
              <w:rPr>
                <w:rFonts w:ascii="Arial" w:eastAsia="Arial" w:hAnsi="Arial"/>
                <w:strike/>
                <w:color w:val="000000"/>
                <w:sz w:val="24"/>
                <w:szCs w:val="24"/>
              </w:rPr>
              <w:t>:  Balances owed by (</w:t>
            </w:r>
            <w:proofErr w:type="spellStart"/>
            <w:r>
              <w:rPr>
                <w:rFonts w:ascii="Arial" w:eastAsia="Arial" w:hAnsi="Arial"/>
                <w:strike/>
                <w:color w:val="000000"/>
                <w:sz w:val="24"/>
                <w:szCs w:val="24"/>
              </w:rPr>
              <w:t>ie</w:t>
            </w:r>
            <w:proofErr w:type="spellEnd"/>
            <w:r>
              <w:rPr>
                <w:rFonts w:ascii="Arial" w:eastAsia="Arial" w:hAnsi="Arial"/>
                <w:strike/>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w:t>
            </w:r>
            <w:proofErr w:type="gramStart"/>
            <w:r>
              <w:rPr>
                <w:rFonts w:ascii="Arial" w:eastAsia="Arial" w:hAnsi="Arial"/>
                <w:strike/>
                <w:color w:val="000000"/>
                <w:sz w:val="24"/>
                <w:szCs w:val="24"/>
              </w:rPr>
              <w:t>in particular where</w:t>
            </w:r>
            <w:proofErr w:type="gramEnd"/>
            <w:r>
              <w:rPr>
                <w:rFonts w:ascii="Arial" w:eastAsia="Arial" w:hAnsi="Arial"/>
                <w:strike/>
                <w:color w:val="000000"/>
                <w:sz w:val="24"/>
                <w:szCs w:val="24"/>
              </w:rPr>
              <w:t xml:space="preserve"> an entity is not a member of a group or is itself the ultimate holding company of the group.</w:t>
            </w:r>
          </w:p>
          <w:p w14:paraId="40836443"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strike/>
                <w:color w:val="000000"/>
                <w:sz w:val="24"/>
                <w:szCs w:val="24"/>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w:t>
            </w:r>
            <w:r>
              <w:rPr>
                <w:rFonts w:ascii="Arial" w:eastAsia="Arial" w:hAnsi="Arial"/>
                <w:strike/>
                <w:color w:val="000000"/>
                <w:sz w:val="24"/>
                <w:szCs w:val="24"/>
              </w:rPr>
              <w:lastRenderedPageBreak/>
              <w:t>Financial Target Threshold should automatically be regarded as not having been met.</w:t>
            </w:r>
          </w:p>
          <w:p w14:paraId="0BAA3C74"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strike/>
                <w:color w:val="000000"/>
                <w:sz w:val="24"/>
                <w:szCs w:val="24"/>
              </w:rPr>
              <w:t xml:space="preserve">In many cases an entity may not have assumed any contingent liabilities in support of Group Undertakings, </w:t>
            </w:r>
            <w:proofErr w:type="gramStart"/>
            <w:r>
              <w:rPr>
                <w:rFonts w:ascii="Arial" w:eastAsia="Arial" w:hAnsi="Arial"/>
                <w:strike/>
                <w:color w:val="000000"/>
                <w:sz w:val="24"/>
                <w:szCs w:val="24"/>
              </w:rPr>
              <w:t>in particular where</w:t>
            </w:r>
            <w:proofErr w:type="gramEnd"/>
            <w:r>
              <w:rPr>
                <w:rFonts w:ascii="Arial" w:eastAsia="Arial" w:hAnsi="Arial"/>
                <w:strike/>
                <w:color w:val="000000"/>
                <w:sz w:val="24"/>
                <w:szCs w:val="24"/>
              </w:rPr>
              <w:t xml:space="preserve"> an entity is not a member of a group or is itself the ultimate holding company of the group.</w:t>
            </w:r>
          </w:p>
          <w:p w14:paraId="1CDDE704"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i/>
                <w:strike/>
                <w:color w:val="000000"/>
                <w:sz w:val="24"/>
                <w:szCs w:val="24"/>
                <w:u w:val="single"/>
              </w:rPr>
              <w:t>Gross Assets</w:t>
            </w:r>
            <w:r>
              <w:rPr>
                <w:rFonts w:ascii="Arial" w:eastAsia="Arial" w:hAnsi="Arial"/>
                <w:strike/>
                <w:color w:val="000000"/>
                <w:sz w:val="24"/>
                <w:szCs w:val="24"/>
              </w:rPr>
              <w:t>: Both Fixed assets and Current assets are shown on the face of the Balance Sheet]</w:t>
            </w:r>
          </w:p>
        </w:tc>
      </w:tr>
    </w:tbl>
    <w:p w14:paraId="3E4C200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976A24A" w14:textId="77777777" w:rsidR="000353B1" w:rsidRDefault="00B84A77">
      <w:pPr>
        <w:spacing w:after="200" w:line="276" w:lineRule="auto"/>
        <w:jc w:val="left"/>
        <w:rPr>
          <w:rFonts w:ascii="Arial" w:eastAsia="Arial" w:hAnsi="Arial"/>
          <w:sz w:val="24"/>
          <w:szCs w:val="24"/>
        </w:rPr>
      </w:pPr>
      <w:r>
        <w:br w:type="page"/>
      </w:r>
    </w:p>
    <w:p w14:paraId="273CA542" w14:textId="77777777" w:rsidR="000353B1" w:rsidRDefault="00B84A77">
      <w:pPr>
        <w:pBdr>
          <w:top w:val="nil"/>
          <w:left w:val="nil"/>
          <w:bottom w:val="nil"/>
          <w:right w:val="nil"/>
          <w:between w:val="nil"/>
        </w:pBdr>
        <w:spacing w:before="100" w:after="300"/>
        <w:jc w:val="left"/>
        <w:rPr>
          <w:rFonts w:ascii="Arial" w:eastAsia="Arial" w:hAnsi="Arial"/>
          <w:b/>
          <w:smallCaps/>
          <w:color w:val="000000"/>
          <w:sz w:val="24"/>
          <w:szCs w:val="24"/>
        </w:rPr>
      </w:pPr>
      <w:bookmarkStart w:id="9" w:name="_heading=h.1t3h5sf" w:colFirst="0" w:colLast="0"/>
      <w:bookmarkEnd w:id="9"/>
      <w:r>
        <w:rPr>
          <w:rFonts w:ascii="Arial" w:eastAsia="Arial" w:hAnsi="Arial"/>
          <w:b/>
          <w:smallCaps/>
          <w:color w:val="000000"/>
          <w:sz w:val="24"/>
          <w:szCs w:val="24"/>
        </w:rPr>
        <w:lastRenderedPageBreak/>
        <w:t>Annex 4: Board Confirmation</w:t>
      </w:r>
    </w:p>
    <w:p w14:paraId="5C9CAD8A"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1BA7BCD"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6A2C13D4"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38019A3D"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086E80F" w14:textId="77777777" w:rsidR="000353B1" w:rsidRDefault="00B84A77">
      <w:pPr>
        <w:pBdr>
          <w:top w:val="nil"/>
          <w:left w:val="nil"/>
          <w:bottom w:val="nil"/>
          <w:right w:val="nil"/>
          <w:between w:val="nil"/>
        </w:pBdr>
        <w:spacing w:before="100" w:after="200"/>
        <w:ind w:left="720"/>
        <w:jc w:val="left"/>
        <w:rPr>
          <w:rFonts w:ascii="Arial" w:eastAsia="Arial" w:hAnsi="Arial"/>
          <w:color w:val="000000"/>
          <w:sz w:val="24"/>
          <w:szCs w:val="24"/>
        </w:rPr>
      </w:pPr>
      <w:bookmarkStart w:id="10" w:name="_heading=h.4d34og8" w:colFirst="0" w:colLast="0"/>
      <w:bookmarkEnd w:id="10"/>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42814F61" w14:textId="77777777" w:rsidR="000353B1" w:rsidRDefault="00B84A77">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75CF2476" w14:textId="77777777" w:rsidR="000353B1" w:rsidRDefault="00B84A77">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26B6B61C" w14:textId="77777777" w:rsidR="000353B1" w:rsidRDefault="00B84A77">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14:paraId="4A7511BC"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83630AB" w14:textId="77777777" w:rsidR="000353B1" w:rsidRDefault="00B84A77">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21F5BBA8"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6B2CE3F6"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34323C98"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064B602D"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14B5405E"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8731B76"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42F13204"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3A18AD7A"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5FC3FBFB"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7CA6C424" w14:textId="77777777" w:rsidR="000353B1" w:rsidRDefault="00B84A77">
      <w:pPr>
        <w:spacing w:after="200" w:line="276" w:lineRule="auto"/>
        <w:jc w:val="left"/>
        <w:rPr>
          <w:rFonts w:ascii="Arial" w:eastAsia="Arial" w:hAnsi="Arial"/>
          <w:sz w:val="36"/>
          <w:szCs w:val="36"/>
        </w:rPr>
      </w:pPr>
      <w:r>
        <w:br w:type="page"/>
      </w:r>
    </w:p>
    <w:p w14:paraId="24BF91DD" w14:textId="77777777" w:rsidR="000353B1" w:rsidRDefault="000353B1">
      <w:pPr>
        <w:spacing w:after="200" w:line="276" w:lineRule="auto"/>
        <w:jc w:val="left"/>
        <w:rPr>
          <w:rFonts w:ascii="Arial" w:eastAsia="Arial" w:hAnsi="Arial"/>
          <w:sz w:val="36"/>
          <w:szCs w:val="36"/>
        </w:rPr>
      </w:pPr>
    </w:p>
    <w:p w14:paraId="644B9DA1" w14:textId="77777777" w:rsidR="000353B1" w:rsidRDefault="00B84A77">
      <w:pPr>
        <w:spacing w:after="200" w:line="276" w:lineRule="auto"/>
        <w:jc w:val="left"/>
        <w:rPr>
          <w:rFonts w:ascii="Arial" w:eastAsia="Arial" w:hAnsi="Arial"/>
          <w:b/>
          <w:smallCaps/>
          <w:strike/>
          <w:sz w:val="36"/>
          <w:szCs w:val="36"/>
        </w:rPr>
      </w:pPr>
      <w:r>
        <w:rPr>
          <w:rFonts w:ascii="Arial" w:eastAsia="Arial" w:hAnsi="Arial"/>
          <w:b/>
          <w:smallCaps/>
          <w:strike/>
          <w:sz w:val="36"/>
          <w:szCs w:val="36"/>
        </w:rPr>
        <w:t>ANNEX 5: OPTIONAL CLAUSES FOR BRONZE CONTRACTS</w:t>
      </w:r>
    </w:p>
    <w:p w14:paraId="43EB1B3B" w14:textId="77777777" w:rsidR="000353B1" w:rsidRDefault="00B84A77">
      <w:pPr>
        <w:keepNext/>
        <w:numPr>
          <w:ilvl w:val="0"/>
          <w:numId w:val="4"/>
        </w:numPr>
        <w:pBdr>
          <w:top w:val="nil"/>
          <w:left w:val="nil"/>
          <w:bottom w:val="nil"/>
          <w:right w:val="nil"/>
          <w:between w:val="nil"/>
        </w:pBdr>
        <w:tabs>
          <w:tab w:val="left" w:pos="142"/>
        </w:tabs>
        <w:spacing w:before="120"/>
        <w:jc w:val="left"/>
        <w:rPr>
          <w:rFonts w:ascii="Arial" w:eastAsia="Arial" w:hAnsi="Arial"/>
          <w:b/>
          <w:strike/>
          <w:color w:val="000000"/>
          <w:sz w:val="24"/>
          <w:szCs w:val="24"/>
        </w:rPr>
      </w:pPr>
      <w:r>
        <w:rPr>
          <w:rFonts w:ascii="Arial" w:eastAsia="Arial" w:hAnsi="Arial"/>
          <w:b/>
          <w:strike/>
          <w:color w:val="000000"/>
          <w:sz w:val="24"/>
          <w:szCs w:val="24"/>
        </w:rPr>
        <w:t>Definitions</w:t>
      </w:r>
    </w:p>
    <w:p w14:paraId="2D8075EF" w14:textId="77777777" w:rsidR="000353B1" w:rsidRDefault="00B84A7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 xml:space="preserve">In this Annex 5, the following words shall have the following </w:t>
      </w:r>
      <w:proofErr w:type="gramStart"/>
      <w:r>
        <w:rPr>
          <w:rFonts w:ascii="Arial" w:eastAsia="Arial" w:hAnsi="Arial"/>
          <w:strike/>
          <w:color w:val="000000"/>
          <w:sz w:val="24"/>
          <w:szCs w:val="24"/>
        </w:rPr>
        <w:t>meanings</w:t>
      </w:r>
      <w:proofErr w:type="gramEnd"/>
      <w:r>
        <w:rPr>
          <w:rFonts w:ascii="Arial" w:eastAsia="Arial" w:hAnsi="Arial"/>
          <w:strike/>
          <w:color w:val="000000"/>
          <w:sz w:val="24"/>
          <w:szCs w:val="24"/>
        </w:rPr>
        <w:t xml:space="preserve"> and they shall supplement Joint Schedule 1 (Definitions):</w:t>
      </w:r>
    </w:p>
    <w:tbl>
      <w:tblPr>
        <w:tblStyle w:val="aff9"/>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0353B1" w14:paraId="587530FC" w14:textId="77777777">
        <w:tc>
          <w:tcPr>
            <w:tcW w:w="2462" w:type="dxa"/>
          </w:tcPr>
          <w:p w14:paraId="343920F3" w14:textId="77777777" w:rsidR="000353B1" w:rsidRDefault="00B84A77">
            <w:pPr>
              <w:pBdr>
                <w:top w:val="nil"/>
                <w:left w:val="nil"/>
                <w:bottom w:val="nil"/>
                <w:right w:val="nil"/>
                <w:between w:val="nil"/>
              </w:pBdr>
              <w:spacing w:after="120"/>
              <w:ind w:left="-108"/>
              <w:jc w:val="center"/>
              <w:rPr>
                <w:rFonts w:ascii="Arial" w:eastAsia="Arial" w:hAnsi="Arial"/>
                <w:b/>
                <w:strike/>
                <w:color w:val="000000"/>
                <w:sz w:val="24"/>
                <w:szCs w:val="24"/>
              </w:rPr>
            </w:pPr>
            <w:r>
              <w:rPr>
                <w:rFonts w:ascii="Arial" w:eastAsia="Arial" w:hAnsi="Arial"/>
                <w:b/>
                <w:strike/>
                <w:color w:val="000000"/>
                <w:sz w:val="24"/>
                <w:szCs w:val="24"/>
              </w:rPr>
              <w:t>"Credit Rating Threshold"</w:t>
            </w:r>
          </w:p>
        </w:tc>
        <w:tc>
          <w:tcPr>
            <w:tcW w:w="5098" w:type="dxa"/>
          </w:tcPr>
          <w:p w14:paraId="0EB1DCED" w14:textId="77777777" w:rsidR="000353B1" w:rsidRDefault="00B84A77">
            <w:pPr>
              <w:numPr>
                <w:ilvl w:val="0"/>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the minimum credit rating level for the Monitored Company as set out in Appendix 2;</w:t>
            </w:r>
          </w:p>
        </w:tc>
      </w:tr>
      <w:tr w:rsidR="000353B1" w14:paraId="4FD9B7DF" w14:textId="77777777">
        <w:tc>
          <w:tcPr>
            <w:tcW w:w="2462" w:type="dxa"/>
          </w:tcPr>
          <w:p w14:paraId="22E518ED" w14:textId="77777777" w:rsidR="000353B1" w:rsidRDefault="00B84A77">
            <w:pPr>
              <w:pBdr>
                <w:top w:val="nil"/>
                <w:left w:val="nil"/>
                <w:bottom w:val="nil"/>
                <w:right w:val="nil"/>
                <w:between w:val="nil"/>
              </w:pBdr>
              <w:spacing w:after="120"/>
              <w:ind w:left="-108"/>
              <w:jc w:val="center"/>
              <w:rPr>
                <w:rFonts w:ascii="Arial" w:eastAsia="Arial" w:hAnsi="Arial"/>
                <w:b/>
                <w:strike/>
                <w:color w:val="000000"/>
                <w:sz w:val="24"/>
                <w:szCs w:val="24"/>
              </w:rPr>
            </w:pPr>
            <w:r>
              <w:rPr>
                <w:rFonts w:ascii="Arial" w:eastAsia="Arial" w:hAnsi="Arial"/>
                <w:b/>
                <w:strike/>
                <w:color w:val="000000"/>
                <w:sz w:val="24"/>
                <w:szCs w:val="24"/>
              </w:rPr>
              <w:t>"Financial Distress Event"</w:t>
            </w:r>
          </w:p>
        </w:tc>
        <w:tc>
          <w:tcPr>
            <w:tcW w:w="5098" w:type="dxa"/>
          </w:tcPr>
          <w:p w14:paraId="49FA0CB8" w14:textId="77777777" w:rsidR="000353B1" w:rsidRDefault="00B84A77">
            <w:pPr>
              <w:numPr>
                <w:ilvl w:val="0"/>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the occurrence or one or more of the following events:</w:t>
            </w:r>
          </w:p>
          <w:p w14:paraId="18C6D9C5" w14:textId="77777777" w:rsidR="000353B1" w:rsidRDefault="00B84A77">
            <w:pPr>
              <w:numPr>
                <w:ilvl w:val="1"/>
                <w:numId w:val="1"/>
              </w:numPr>
              <w:pBdr>
                <w:top w:val="nil"/>
                <w:left w:val="nil"/>
                <w:bottom w:val="nil"/>
                <w:right w:val="nil"/>
                <w:between w:val="nil"/>
              </w:pBdr>
              <w:tabs>
                <w:tab w:val="left" w:pos="175"/>
              </w:tabs>
              <w:spacing w:after="120"/>
              <w:ind w:hanging="544"/>
              <w:jc w:val="left"/>
              <w:rPr>
                <w:rFonts w:ascii="Arial" w:eastAsia="Arial" w:hAnsi="Arial"/>
                <w:strike/>
                <w:color w:val="000000"/>
                <w:sz w:val="24"/>
                <w:szCs w:val="24"/>
              </w:rPr>
            </w:pPr>
            <w:r>
              <w:rPr>
                <w:rFonts w:ascii="Arial" w:eastAsia="Arial" w:hAnsi="Arial"/>
                <w:strike/>
                <w:color w:val="000000"/>
                <w:sz w:val="24"/>
                <w:szCs w:val="24"/>
              </w:rPr>
              <w:t xml:space="preserve">the credit rating of the Monitored Company dropping below the applicable Credit Rating </w:t>
            </w:r>
            <w:proofErr w:type="gramStart"/>
            <w:r>
              <w:rPr>
                <w:rFonts w:ascii="Arial" w:eastAsia="Arial" w:hAnsi="Arial"/>
                <w:strike/>
                <w:color w:val="000000"/>
                <w:sz w:val="24"/>
                <w:szCs w:val="24"/>
              </w:rPr>
              <w:t>Threshold;</w:t>
            </w:r>
            <w:proofErr w:type="gramEnd"/>
          </w:p>
          <w:p w14:paraId="1F9D15C3" w14:textId="77777777" w:rsidR="000353B1" w:rsidRDefault="00B84A77">
            <w:pPr>
              <w:numPr>
                <w:ilvl w:val="1"/>
                <w:numId w:val="1"/>
              </w:numPr>
              <w:pBdr>
                <w:top w:val="nil"/>
                <w:left w:val="nil"/>
                <w:bottom w:val="nil"/>
                <w:right w:val="nil"/>
                <w:between w:val="nil"/>
              </w:pBdr>
              <w:tabs>
                <w:tab w:val="left" w:pos="175"/>
              </w:tabs>
              <w:spacing w:after="120"/>
              <w:ind w:hanging="544"/>
              <w:jc w:val="left"/>
              <w:rPr>
                <w:rFonts w:ascii="Arial" w:eastAsia="Arial" w:hAnsi="Arial"/>
                <w:strike/>
                <w:color w:val="000000"/>
                <w:sz w:val="24"/>
                <w:szCs w:val="24"/>
              </w:rPr>
            </w:pPr>
            <w:r>
              <w:rPr>
                <w:rFonts w:ascii="Arial" w:eastAsia="Arial" w:hAnsi="Arial"/>
                <w:strike/>
                <w:color w:val="000000"/>
                <w:sz w:val="24"/>
                <w:szCs w:val="24"/>
              </w:rPr>
              <w:t xml:space="preserve">the Monitored Company issuing a profits warning to a stock exchange or making any other public announcement about a material deterioration in its financial position or </w:t>
            </w:r>
            <w:proofErr w:type="gramStart"/>
            <w:r>
              <w:rPr>
                <w:rFonts w:ascii="Arial" w:eastAsia="Arial" w:hAnsi="Arial"/>
                <w:strike/>
                <w:color w:val="000000"/>
                <w:sz w:val="24"/>
                <w:szCs w:val="24"/>
              </w:rPr>
              <w:t>prospects;</w:t>
            </w:r>
            <w:proofErr w:type="gramEnd"/>
          </w:p>
          <w:p w14:paraId="6858A058" w14:textId="77777777" w:rsidR="000353B1" w:rsidRDefault="00B84A77">
            <w:pPr>
              <w:numPr>
                <w:ilvl w:val="1"/>
                <w:numId w:val="1"/>
              </w:numPr>
              <w:pBdr>
                <w:top w:val="nil"/>
                <w:left w:val="nil"/>
                <w:bottom w:val="nil"/>
                <w:right w:val="nil"/>
                <w:between w:val="nil"/>
              </w:pBdr>
              <w:tabs>
                <w:tab w:val="left" w:pos="175"/>
              </w:tabs>
              <w:spacing w:after="120"/>
              <w:ind w:hanging="544"/>
              <w:jc w:val="left"/>
              <w:rPr>
                <w:rFonts w:ascii="Arial" w:eastAsia="Arial" w:hAnsi="Arial"/>
                <w:strike/>
                <w:color w:val="000000"/>
                <w:sz w:val="24"/>
                <w:szCs w:val="24"/>
              </w:rPr>
            </w:pPr>
            <w:r>
              <w:rPr>
                <w:rFonts w:ascii="Arial" w:eastAsia="Arial" w:hAnsi="Arial"/>
                <w:strike/>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strike/>
                <w:color w:val="000000"/>
                <w:sz w:val="24"/>
                <w:szCs w:val="24"/>
              </w:rPr>
              <w:t>Party;</w:t>
            </w:r>
            <w:proofErr w:type="gramEnd"/>
            <w:r>
              <w:rPr>
                <w:rFonts w:ascii="Arial" w:eastAsia="Arial" w:hAnsi="Arial"/>
                <w:strike/>
                <w:color w:val="000000"/>
                <w:sz w:val="24"/>
                <w:szCs w:val="24"/>
              </w:rPr>
              <w:t xml:space="preserve"> </w:t>
            </w:r>
          </w:p>
          <w:p w14:paraId="2B0C4D40" w14:textId="77777777" w:rsidR="000353B1" w:rsidRDefault="00B84A77">
            <w:pPr>
              <w:numPr>
                <w:ilvl w:val="1"/>
                <w:numId w:val="1"/>
              </w:numPr>
              <w:pBdr>
                <w:top w:val="nil"/>
                <w:left w:val="nil"/>
                <w:bottom w:val="nil"/>
                <w:right w:val="nil"/>
                <w:between w:val="nil"/>
              </w:pBdr>
              <w:tabs>
                <w:tab w:val="left" w:pos="175"/>
              </w:tabs>
              <w:spacing w:after="120"/>
              <w:ind w:hanging="544"/>
              <w:jc w:val="left"/>
              <w:rPr>
                <w:rFonts w:ascii="Arial" w:eastAsia="Arial" w:hAnsi="Arial"/>
                <w:strike/>
                <w:color w:val="000000"/>
                <w:sz w:val="24"/>
                <w:szCs w:val="24"/>
              </w:rPr>
            </w:pPr>
            <w:r>
              <w:rPr>
                <w:rFonts w:ascii="Arial" w:eastAsia="Arial" w:hAnsi="Arial"/>
                <w:strike/>
                <w:color w:val="000000"/>
                <w:sz w:val="24"/>
                <w:szCs w:val="24"/>
              </w:rPr>
              <w:t xml:space="preserve">Monitored Company committing a material breach of covenant to its </w:t>
            </w:r>
            <w:proofErr w:type="gramStart"/>
            <w:r>
              <w:rPr>
                <w:rFonts w:ascii="Arial" w:eastAsia="Arial" w:hAnsi="Arial"/>
                <w:strike/>
                <w:color w:val="000000"/>
                <w:sz w:val="24"/>
                <w:szCs w:val="24"/>
              </w:rPr>
              <w:t>lenders;</w:t>
            </w:r>
            <w:proofErr w:type="gramEnd"/>
            <w:r>
              <w:rPr>
                <w:rFonts w:ascii="Arial" w:eastAsia="Arial" w:hAnsi="Arial"/>
                <w:strike/>
                <w:color w:val="000000"/>
                <w:sz w:val="24"/>
                <w:szCs w:val="24"/>
              </w:rPr>
              <w:t xml:space="preserve"> </w:t>
            </w:r>
          </w:p>
          <w:p w14:paraId="11FC5EB4" w14:textId="77777777" w:rsidR="000353B1" w:rsidRDefault="00B84A77">
            <w:pPr>
              <w:numPr>
                <w:ilvl w:val="1"/>
                <w:numId w:val="1"/>
              </w:numPr>
              <w:pBdr>
                <w:top w:val="nil"/>
                <w:left w:val="nil"/>
                <w:bottom w:val="nil"/>
                <w:right w:val="nil"/>
                <w:between w:val="nil"/>
              </w:pBdr>
              <w:tabs>
                <w:tab w:val="left" w:pos="175"/>
              </w:tabs>
              <w:spacing w:after="120"/>
              <w:ind w:hanging="544"/>
              <w:jc w:val="left"/>
              <w:rPr>
                <w:rFonts w:ascii="Arial" w:eastAsia="Arial" w:hAnsi="Arial"/>
                <w:strike/>
                <w:color w:val="000000"/>
                <w:sz w:val="24"/>
                <w:szCs w:val="24"/>
              </w:rPr>
            </w:pPr>
            <w:r>
              <w:rPr>
                <w:rFonts w:ascii="Arial" w:eastAsia="Arial" w:hAnsi="Arial"/>
                <w:strike/>
                <w:color w:val="000000"/>
                <w:sz w:val="24"/>
                <w:szCs w:val="24"/>
              </w:rPr>
              <w:t>a Key Subcontractor (where applicable) notifying CCS that the Supplier has not satisfied any sums properly due under a specified invoice and not subject to a genuine dispute; or</w:t>
            </w:r>
          </w:p>
          <w:p w14:paraId="19C9D9B0" w14:textId="77777777" w:rsidR="000353B1" w:rsidRDefault="00B84A77">
            <w:pPr>
              <w:numPr>
                <w:ilvl w:val="1"/>
                <w:numId w:val="1"/>
              </w:numPr>
              <w:pBdr>
                <w:top w:val="nil"/>
                <w:left w:val="nil"/>
                <w:bottom w:val="nil"/>
                <w:right w:val="nil"/>
                <w:between w:val="nil"/>
              </w:pBdr>
              <w:tabs>
                <w:tab w:val="left" w:pos="175"/>
              </w:tabs>
              <w:spacing w:after="120"/>
              <w:ind w:hanging="544"/>
              <w:jc w:val="left"/>
              <w:rPr>
                <w:rFonts w:ascii="Arial" w:eastAsia="Arial" w:hAnsi="Arial"/>
                <w:strike/>
                <w:color w:val="000000"/>
                <w:sz w:val="24"/>
                <w:szCs w:val="24"/>
              </w:rPr>
            </w:pPr>
            <w:r>
              <w:rPr>
                <w:rFonts w:ascii="Arial" w:eastAsia="Arial" w:hAnsi="Arial"/>
                <w:strike/>
                <w:color w:val="000000"/>
                <w:sz w:val="24"/>
                <w:szCs w:val="24"/>
              </w:rPr>
              <w:t>any of the following:</w:t>
            </w:r>
          </w:p>
          <w:p w14:paraId="6FB0F48D" w14:textId="77777777" w:rsidR="000353B1" w:rsidRDefault="00B84A77">
            <w:pPr>
              <w:numPr>
                <w:ilvl w:val="2"/>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 xml:space="preserve">commencement of any litigation against the Monitored Company with respect to financial indebtedness or obligations under a </w:t>
            </w:r>
            <w:proofErr w:type="gramStart"/>
            <w:r>
              <w:rPr>
                <w:rFonts w:ascii="Arial" w:eastAsia="Arial" w:hAnsi="Arial"/>
                <w:strike/>
                <w:color w:val="000000"/>
                <w:sz w:val="24"/>
                <w:szCs w:val="24"/>
              </w:rPr>
              <w:t>contract;</w:t>
            </w:r>
            <w:proofErr w:type="gramEnd"/>
            <w:r>
              <w:rPr>
                <w:rFonts w:ascii="Arial" w:eastAsia="Arial" w:hAnsi="Arial"/>
                <w:strike/>
                <w:color w:val="000000"/>
                <w:sz w:val="24"/>
                <w:szCs w:val="24"/>
              </w:rPr>
              <w:t xml:space="preserve"> </w:t>
            </w:r>
          </w:p>
          <w:p w14:paraId="72A2A73A" w14:textId="77777777" w:rsidR="000353B1" w:rsidRDefault="00B84A77">
            <w:pPr>
              <w:numPr>
                <w:ilvl w:val="2"/>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lastRenderedPageBreak/>
              <w:t xml:space="preserve">non-payment by the Monitored Company of any financial </w:t>
            </w:r>
            <w:proofErr w:type="gramStart"/>
            <w:r>
              <w:rPr>
                <w:rFonts w:ascii="Arial" w:eastAsia="Arial" w:hAnsi="Arial"/>
                <w:strike/>
                <w:color w:val="000000"/>
                <w:sz w:val="24"/>
                <w:szCs w:val="24"/>
              </w:rPr>
              <w:t>indebtedness;</w:t>
            </w:r>
            <w:proofErr w:type="gramEnd"/>
          </w:p>
          <w:p w14:paraId="64F64C63" w14:textId="77777777" w:rsidR="000353B1" w:rsidRDefault="00B84A77">
            <w:pPr>
              <w:numPr>
                <w:ilvl w:val="2"/>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 xml:space="preserve">any financial indebtedness of the Monitored Company becoming due </w:t>
            </w:r>
            <w:proofErr w:type="gramStart"/>
            <w:r>
              <w:rPr>
                <w:rFonts w:ascii="Arial" w:eastAsia="Arial" w:hAnsi="Arial"/>
                <w:strike/>
                <w:color w:val="000000"/>
                <w:sz w:val="24"/>
                <w:szCs w:val="24"/>
              </w:rPr>
              <w:t>as a result of</w:t>
            </w:r>
            <w:proofErr w:type="gramEnd"/>
            <w:r>
              <w:rPr>
                <w:rFonts w:ascii="Arial" w:eastAsia="Arial" w:hAnsi="Arial"/>
                <w:strike/>
                <w:color w:val="000000"/>
                <w:sz w:val="24"/>
                <w:szCs w:val="24"/>
              </w:rPr>
              <w:t xml:space="preserve"> an event of default; or</w:t>
            </w:r>
          </w:p>
          <w:p w14:paraId="57DD5698" w14:textId="77777777" w:rsidR="000353B1" w:rsidRDefault="00B84A77">
            <w:pPr>
              <w:numPr>
                <w:ilvl w:val="2"/>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the cancellation or suspension of any financial indebtedness in respect of the Monitored Company</w:t>
            </w:r>
          </w:p>
          <w:p w14:paraId="614FDCE2" w14:textId="77777777" w:rsidR="000353B1" w:rsidRDefault="00B84A77">
            <w:pPr>
              <w:numPr>
                <w:ilvl w:val="0"/>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0353B1" w14:paraId="46700D51" w14:textId="77777777">
        <w:tc>
          <w:tcPr>
            <w:tcW w:w="2462" w:type="dxa"/>
          </w:tcPr>
          <w:p w14:paraId="6E6FC3D2" w14:textId="77777777" w:rsidR="000353B1" w:rsidRDefault="00B84A77">
            <w:pPr>
              <w:pBdr>
                <w:top w:val="nil"/>
                <w:left w:val="nil"/>
                <w:bottom w:val="nil"/>
                <w:right w:val="nil"/>
                <w:between w:val="nil"/>
              </w:pBdr>
              <w:spacing w:after="120"/>
              <w:ind w:left="-108"/>
              <w:jc w:val="center"/>
              <w:rPr>
                <w:rFonts w:ascii="Arial" w:eastAsia="Arial" w:hAnsi="Arial"/>
                <w:b/>
                <w:strike/>
                <w:color w:val="000000"/>
                <w:sz w:val="24"/>
                <w:szCs w:val="24"/>
              </w:rPr>
            </w:pPr>
            <w:r>
              <w:rPr>
                <w:rFonts w:ascii="Arial" w:eastAsia="Arial" w:hAnsi="Arial"/>
                <w:b/>
                <w:strike/>
                <w:color w:val="000000"/>
                <w:sz w:val="24"/>
                <w:szCs w:val="24"/>
              </w:rPr>
              <w:lastRenderedPageBreak/>
              <w:t>"Financial Distress Service Continuity Plan"</w:t>
            </w:r>
          </w:p>
        </w:tc>
        <w:tc>
          <w:tcPr>
            <w:tcW w:w="5098" w:type="dxa"/>
          </w:tcPr>
          <w:p w14:paraId="50B83903" w14:textId="77777777" w:rsidR="000353B1" w:rsidRDefault="00B84A77">
            <w:pPr>
              <w:numPr>
                <w:ilvl w:val="0"/>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 xml:space="preserve">a plan setting out how the Supplier will ensure the continued performance and delivery of the Deliverables in accordance with [each Call-Off] Contract </w:t>
            </w:r>
            <w:proofErr w:type="gramStart"/>
            <w:r>
              <w:rPr>
                <w:rFonts w:ascii="Arial" w:eastAsia="Arial" w:hAnsi="Arial"/>
                <w:strike/>
                <w:color w:val="000000"/>
                <w:sz w:val="24"/>
                <w:szCs w:val="24"/>
              </w:rPr>
              <w:t>in the event that</w:t>
            </w:r>
            <w:proofErr w:type="gramEnd"/>
            <w:r>
              <w:rPr>
                <w:rFonts w:ascii="Arial" w:eastAsia="Arial" w:hAnsi="Arial"/>
                <w:strike/>
                <w:color w:val="000000"/>
                <w:sz w:val="24"/>
                <w:szCs w:val="24"/>
              </w:rPr>
              <w:t xml:space="preserve"> a Financial Distress Event occurs;</w:t>
            </w:r>
          </w:p>
        </w:tc>
      </w:tr>
      <w:tr w:rsidR="000353B1" w14:paraId="6C58D411" w14:textId="77777777">
        <w:tc>
          <w:tcPr>
            <w:tcW w:w="2462" w:type="dxa"/>
          </w:tcPr>
          <w:p w14:paraId="53BBC579" w14:textId="77777777" w:rsidR="000353B1" w:rsidRDefault="00B84A77">
            <w:pPr>
              <w:pBdr>
                <w:top w:val="nil"/>
                <w:left w:val="nil"/>
                <w:bottom w:val="nil"/>
                <w:right w:val="nil"/>
                <w:between w:val="nil"/>
              </w:pBdr>
              <w:spacing w:after="120"/>
              <w:ind w:left="-108"/>
              <w:jc w:val="center"/>
              <w:rPr>
                <w:rFonts w:ascii="Arial" w:eastAsia="Arial" w:hAnsi="Arial"/>
                <w:b/>
                <w:strike/>
                <w:color w:val="000000"/>
                <w:sz w:val="24"/>
                <w:szCs w:val="24"/>
              </w:rPr>
            </w:pPr>
            <w:r>
              <w:rPr>
                <w:rFonts w:ascii="Arial" w:eastAsia="Arial" w:hAnsi="Arial"/>
                <w:b/>
                <w:strike/>
                <w:color w:val="000000"/>
                <w:sz w:val="24"/>
                <w:szCs w:val="24"/>
              </w:rPr>
              <w:t>“Monitored Company”</w:t>
            </w:r>
          </w:p>
        </w:tc>
        <w:tc>
          <w:tcPr>
            <w:tcW w:w="5098" w:type="dxa"/>
          </w:tcPr>
          <w:p w14:paraId="6593A61F" w14:textId="77777777" w:rsidR="000353B1" w:rsidRDefault="00B84A77">
            <w:pPr>
              <w:numPr>
                <w:ilvl w:val="0"/>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Supplier [the Guarantor] or any Key Subcontractor]</w:t>
            </w:r>
          </w:p>
        </w:tc>
      </w:tr>
      <w:tr w:rsidR="000353B1" w14:paraId="4B4F8FD6" w14:textId="77777777">
        <w:tc>
          <w:tcPr>
            <w:tcW w:w="2462" w:type="dxa"/>
          </w:tcPr>
          <w:p w14:paraId="26CC8417" w14:textId="77777777" w:rsidR="000353B1" w:rsidRDefault="00B84A77">
            <w:pPr>
              <w:pBdr>
                <w:top w:val="nil"/>
                <w:left w:val="nil"/>
                <w:bottom w:val="nil"/>
                <w:right w:val="nil"/>
                <w:between w:val="nil"/>
              </w:pBdr>
              <w:spacing w:after="120"/>
              <w:ind w:left="-108"/>
              <w:jc w:val="center"/>
              <w:rPr>
                <w:rFonts w:ascii="Arial" w:eastAsia="Arial" w:hAnsi="Arial"/>
                <w:b/>
                <w:strike/>
                <w:color w:val="000000"/>
                <w:sz w:val="24"/>
                <w:szCs w:val="24"/>
              </w:rPr>
            </w:pPr>
            <w:r>
              <w:rPr>
                <w:rFonts w:ascii="Arial" w:eastAsia="Arial" w:hAnsi="Arial"/>
                <w:b/>
                <w:strike/>
                <w:color w:val="000000"/>
                <w:sz w:val="24"/>
                <w:szCs w:val="24"/>
              </w:rPr>
              <w:t>"Rating Agencies"</w:t>
            </w:r>
          </w:p>
        </w:tc>
        <w:tc>
          <w:tcPr>
            <w:tcW w:w="5098" w:type="dxa"/>
          </w:tcPr>
          <w:p w14:paraId="0EF44033" w14:textId="77777777" w:rsidR="000353B1" w:rsidRDefault="00B84A77">
            <w:pPr>
              <w:numPr>
                <w:ilvl w:val="0"/>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the rating agencies listed in Appendix 1.</w:t>
            </w:r>
          </w:p>
        </w:tc>
      </w:tr>
    </w:tbl>
    <w:p w14:paraId="464DDE22" w14:textId="77777777" w:rsidR="000353B1" w:rsidRDefault="00B84A77">
      <w:pPr>
        <w:keepNext/>
        <w:numPr>
          <w:ilvl w:val="0"/>
          <w:numId w:val="4"/>
        </w:numPr>
        <w:pBdr>
          <w:top w:val="nil"/>
          <w:left w:val="nil"/>
          <w:bottom w:val="nil"/>
          <w:right w:val="nil"/>
          <w:between w:val="nil"/>
        </w:pBdr>
        <w:tabs>
          <w:tab w:val="left" w:pos="142"/>
        </w:tabs>
        <w:spacing w:before="120"/>
        <w:jc w:val="left"/>
        <w:rPr>
          <w:rFonts w:ascii="Arial" w:eastAsia="Arial" w:hAnsi="Arial"/>
          <w:b/>
          <w:smallCaps/>
          <w:strike/>
          <w:color w:val="000000"/>
          <w:sz w:val="24"/>
          <w:szCs w:val="24"/>
        </w:rPr>
      </w:pPr>
      <w:bookmarkStart w:id="11" w:name="_heading=h.2s8eyo1" w:colFirst="0" w:colLast="0"/>
      <w:bookmarkEnd w:id="11"/>
      <w:r>
        <w:rPr>
          <w:rFonts w:ascii="Arial" w:eastAsia="Arial" w:hAnsi="Arial"/>
          <w:b/>
          <w:strike/>
          <w:color w:val="000000"/>
          <w:sz w:val="24"/>
          <w:szCs w:val="24"/>
        </w:rPr>
        <w:t>When this Schedule applies</w:t>
      </w:r>
    </w:p>
    <w:p w14:paraId="344F8C94"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The Parties shall comply with the provisions of this Annex 5 in relation to the assessment of the financial standing of the Monitored Companies and the consequences of a change to that financial standing.</w:t>
      </w:r>
    </w:p>
    <w:p w14:paraId="6AD0D584"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 xml:space="preserve">    The terms of this Annex 5 shall survive: </w:t>
      </w:r>
    </w:p>
    <w:p w14:paraId="689C1B4B"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 xml:space="preserve">under the Framework Contract until the later of (a) the termination or expiry of the Framework Contract or (b) the latest date of termination or expiry of any call-off contract </w:t>
      </w:r>
      <w:proofErr w:type="gramStart"/>
      <w:r>
        <w:rPr>
          <w:rFonts w:ascii="Arial" w:eastAsia="Arial" w:hAnsi="Arial"/>
          <w:strike/>
          <w:color w:val="000000"/>
          <w:sz w:val="24"/>
          <w:szCs w:val="24"/>
        </w:rPr>
        <w:t>entered into</w:t>
      </w:r>
      <w:proofErr w:type="gramEnd"/>
      <w:r>
        <w:rPr>
          <w:rFonts w:ascii="Arial" w:eastAsia="Arial" w:hAnsi="Arial"/>
          <w:strike/>
          <w:color w:val="000000"/>
          <w:sz w:val="24"/>
          <w:szCs w:val="24"/>
        </w:rPr>
        <w:t xml:space="preserve"> under the Framework Contract (which might be after the date of termination or expiry of the Framework Contract); and</w:t>
      </w:r>
    </w:p>
    <w:p w14:paraId="47CFED47"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under the Call-Off Contract until the termination or expiry of the Call-Off Contract.</w:t>
      </w:r>
    </w:p>
    <w:p w14:paraId="0ECE9F41" w14:textId="77777777" w:rsidR="000353B1" w:rsidRDefault="00B84A77">
      <w:pPr>
        <w:keepNext/>
        <w:numPr>
          <w:ilvl w:val="0"/>
          <w:numId w:val="4"/>
        </w:numPr>
        <w:pBdr>
          <w:top w:val="nil"/>
          <w:left w:val="nil"/>
          <w:bottom w:val="nil"/>
          <w:right w:val="nil"/>
          <w:between w:val="nil"/>
        </w:pBdr>
        <w:tabs>
          <w:tab w:val="left" w:pos="142"/>
        </w:tabs>
        <w:spacing w:before="120"/>
        <w:jc w:val="left"/>
        <w:rPr>
          <w:rFonts w:ascii="Arial" w:eastAsia="Arial" w:hAnsi="Arial"/>
          <w:b/>
          <w:smallCaps/>
          <w:strike/>
          <w:color w:val="000000"/>
          <w:sz w:val="24"/>
          <w:szCs w:val="24"/>
        </w:rPr>
      </w:pPr>
      <w:r>
        <w:rPr>
          <w:rFonts w:ascii="Arial" w:eastAsia="Arial" w:hAnsi="Arial"/>
          <w:b/>
          <w:smallCaps/>
          <w:strike/>
          <w:color w:val="000000"/>
          <w:sz w:val="24"/>
          <w:szCs w:val="24"/>
        </w:rPr>
        <w:t>W</w:t>
      </w:r>
      <w:r>
        <w:rPr>
          <w:rFonts w:ascii="Arial" w:eastAsia="Arial" w:hAnsi="Arial"/>
          <w:b/>
          <w:strike/>
          <w:color w:val="000000"/>
          <w:sz w:val="24"/>
          <w:szCs w:val="24"/>
        </w:rPr>
        <w:t>hat happens when your credit rating changes</w:t>
      </w:r>
    </w:p>
    <w:p w14:paraId="27C027A7"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12" w:name="_heading=h.17dp8vu" w:colFirst="0" w:colLast="0"/>
      <w:bookmarkEnd w:id="12"/>
      <w:r>
        <w:rPr>
          <w:rFonts w:ascii="Arial" w:eastAsia="Arial" w:hAnsi="Arial"/>
          <w:strike/>
          <w:color w:val="000000"/>
          <w:sz w:val="24"/>
          <w:szCs w:val="24"/>
        </w:rPr>
        <w:t xml:space="preserve">The Supplier warrants and represents to the Relevant Authority that as at the Start Date the </w:t>
      </w:r>
      <w:proofErr w:type="gramStart"/>
      <w:r>
        <w:rPr>
          <w:rFonts w:ascii="Arial" w:eastAsia="Arial" w:hAnsi="Arial"/>
          <w:strike/>
          <w:color w:val="000000"/>
          <w:sz w:val="24"/>
          <w:szCs w:val="24"/>
        </w:rPr>
        <w:t>long term</w:t>
      </w:r>
      <w:proofErr w:type="gramEnd"/>
      <w:r>
        <w:rPr>
          <w:rFonts w:ascii="Arial" w:eastAsia="Arial" w:hAnsi="Arial"/>
          <w:strike/>
          <w:color w:val="000000"/>
          <w:sz w:val="24"/>
          <w:szCs w:val="24"/>
        </w:rPr>
        <w:t xml:space="preserve"> credit ratings issued for the Monitored Companies by each of the Rating Agencies are as set out in Appendix 2. </w:t>
      </w:r>
    </w:p>
    <w:p w14:paraId="11BDFD80"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lastRenderedPageBreak/>
        <w:t>The Supplier shall promptly (and in any event within five (5) Working Days) notify the Relevant Authority in writing if there is any downgrade in the credit rating issued by any Rating Agency for a Monitored Company.</w:t>
      </w:r>
    </w:p>
    <w:p w14:paraId="40B2C415"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14:paraId="25193664" w14:textId="77777777" w:rsidR="000353B1" w:rsidRDefault="00B84A77">
      <w:pPr>
        <w:ind w:firstLine="1134"/>
        <w:jc w:val="left"/>
        <w:rPr>
          <w:rFonts w:ascii="Arial" w:eastAsia="Arial" w:hAnsi="Arial"/>
          <w:strike/>
          <w:sz w:val="24"/>
          <w:szCs w:val="24"/>
        </w:rPr>
      </w:pPr>
      <w:r>
        <w:rPr>
          <w:rFonts w:ascii="Arial" w:eastAsia="Arial" w:hAnsi="Arial"/>
          <w:strike/>
          <w:noProof/>
          <w:sz w:val="24"/>
          <w:szCs w:val="24"/>
        </w:rPr>
        <w:drawing>
          <wp:inline distT="0" distB="0" distL="0" distR="0" wp14:anchorId="6EDD9AE3" wp14:editId="468BE2D0">
            <wp:extent cx="609600" cy="163195"/>
            <wp:effectExtent l="0" t="0" r="0" b="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163195"/>
                    </a:xfrm>
                    <a:prstGeom prst="rect">
                      <a:avLst/>
                    </a:prstGeom>
                    <a:ln/>
                  </pic:spPr>
                </pic:pic>
              </a:graphicData>
            </a:graphic>
          </wp:inline>
        </w:drawing>
      </w:r>
      <w:r>
        <w:rPr>
          <w:rFonts w:ascii="Arial" w:eastAsia="Arial" w:hAnsi="Arial"/>
          <w:strike/>
          <w:noProof/>
          <w:sz w:val="24"/>
          <w:szCs w:val="24"/>
        </w:rPr>
        <w:drawing>
          <wp:inline distT="0" distB="0" distL="0" distR="0" wp14:anchorId="7F891236" wp14:editId="488C9ADA">
            <wp:extent cx="609600" cy="315595"/>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609600" cy="315595"/>
                    </a:xfrm>
                    <a:prstGeom prst="rect">
                      <a:avLst/>
                    </a:prstGeom>
                    <a:ln/>
                  </pic:spPr>
                </pic:pic>
              </a:graphicData>
            </a:graphic>
          </wp:inline>
        </w:drawing>
      </w:r>
    </w:p>
    <w:p w14:paraId="53486F39" w14:textId="77777777" w:rsidR="000353B1" w:rsidRDefault="00B84A77">
      <w:pPr>
        <w:pBdr>
          <w:top w:val="nil"/>
          <w:left w:val="nil"/>
          <w:bottom w:val="nil"/>
          <w:right w:val="nil"/>
          <w:between w:val="nil"/>
        </w:pBdr>
        <w:tabs>
          <w:tab w:val="left" w:pos="3402"/>
        </w:tabs>
        <w:spacing w:after="220"/>
        <w:ind w:left="720"/>
        <w:jc w:val="left"/>
        <w:rPr>
          <w:rFonts w:ascii="Arial" w:eastAsia="Arial" w:hAnsi="Arial"/>
          <w:strike/>
          <w:color w:val="000000"/>
          <w:sz w:val="24"/>
          <w:szCs w:val="24"/>
        </w:rPr>
      </w:pPr>
      <w:r>
        <w:rPr>
          <w:rFonts w:ascii="Arial" w:eastAsia="Arial" w:hAnsi="Arial"/>
          <w:strike/>
          <w:color w:val="000000"/>
          <w:sz w:val="24"/>
          <w:szCs w:val="24"/>
        </w:rPr>
        <w:t>where:</w:t>
      </w:r>
    </w:p>
    <w:tbl>
      <w:tblPr>
        <w:tblStyle w:val="affa"/>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0353B1" w14:paraId="7B1D6B0E" w14:textId="77777777">
        <w:tc>
          <w:tcPr>
            <w:tcW w:w="1524" w:type="dxa"/>
          </w:tcPr>
          <w:p w14:paraId="1CDFAFD5"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A</w:t>
            </w:r>
          </w:p>
        </w:tc>
        <w:tc>
          <w:tcPr>
            <w:tcW w:w="6793" w:type="dxa"/>
          </w:tcPr>
          <w:p w14:paraId="4C6934DA"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b/>
                <w:strike/>
                <w:color w:val="000000"/>
                <w:sz w:val="24"/>
                <w:szCs w:val="24"/>
              </w:rPr>
            </w:pPr>
            <w:r>
              <w:rPr>
                <w:rFonts w:ascii="Arial" w:eastAsia="Arial" w:hAnsi="Arial"/>
                <w:strike/>
                <w:color w:val="000000"/>
                <w:sz w:val="24"/>
                <w:szCs w:val="24"/>
              </w:rPr>
              <w:t>is the value at the relevant date of all cash in hand and at the bank of the Monitored Company];</w:t>
            </w:r>
          </w:p>
        </w:tc>
      </w:tr>
      <w:tr w:rsidR="000353B1" w14:paraId="0F49A620" w14:textId="77777777">
        <w:tc>
          <w:tcPr>
            <w:tcW w:w="1524" w:type="dxa"/>
          </w:tcPr>
          <w:p w14:paraId="32A0EC73"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B</w:t>
            </w:r>
          </w:p>
        </w:tc>
        <w:tc>
          <w:tcPr>
            <w:tcW w:w="6793" w:type="dxa"/>
          </w:tcPr>
          <w:p w14:paraId="629BD510"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 xml:space="preserve">is the value of all marketable securities held by the Supplier the Monitored Company determined using closing prices on the Working Day preceding the relevant date; </w:t>
            </w:r>
          </w:p>
        </w:tc>
      </w:tr>
      <w:tr w:rsidR="000353B1" w14:paraId="5687B5AA" w14:textId="77777777">
        <w:tc>
          <w:tcPr>
            <w:tcW w:w="1524" w:type="dxa"/>
          </w:tcPr>
          <w:p w14:paraId="1776CEE7"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C</w:t>
            </w:r>
          </w:p>
        </w:tc>
        <w:tc>
          <w:tcPr>
            <w:tcW w:w="6793" w:type="dxa"/>
          </w:tcPr>
          <w:p w14:paraId="43EC2D03"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is the value at the relevant date of all account receivables of the Monitored]; and</w:t>
            </w:r>
          </w:p>
        </w:tc>
      </w:tr>
      <w:tr w:rsidR="000353B1" w14:paraId="203933D5" w14:textId="77777777">
        <w:tc>
          <w:tcPr>
            <w:tcW w:w="1524" w:type="dxa"/>
          </w:tcPr>
          <w:p w14:paraId="2F5111FA"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D</w:t>
            </w:r>
          </w:p>
        </w:tc>
        <w:tc>
          <w:tcPr>
            <w:tcW w:w="6793" w:type="dxa"/>
          </w:tcPr>
          <w:p w14:paraId="542B67C8"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is the value at the relevant date of the current liabilities of the Monitored Company].</w:t>
            </w:r>
          </w:p>
        </w:tc>
      </w:tr>
    </w:tbl>
    <w:p w14:paraId="4D86337E" w14:textId="77777777" w:rsidR="000353B1" w:rsidRDefault="00B84A7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13" w:name="_heading=h.3rdcrjn" w:colFirst="0" w:colLast="0"/>
      <w:bookmarkEnd w:id="13"/>
      <w:r>
        <w:rPr>
          <w:rFonts w:ascii="Arial" w:eastAsia="Arial" w:hAnsi="Arial"/>
          <w:strike/>
          <w:color w:val="000000"/>
          <w:sz w:val="24"/>
          <w:szCs w:val="24"/>
        </w:rPr>
        <w:t xml:space="preserve">The Supplier shall: </w:t>
      </w:r>
    </w:p>
    <w:p w14:paraId="30723CB2"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 xml:space="preserve">regularly monitor the credit ratings of each Monitored Company with the Rating Agencies; and </w:t>
      </w:r>
    </w:p>
    <w:p w14:paraId="298F3CED"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14" w:name="_heading=h.26in1rg" w:colFirst="0" w:colLast="0"/>
      <w:bookmarkEnd w:id="14"/>
      <w:r>
        <w:rPr>
          <w:rFonts w:ascii="Arial" w:eastAsia="Arial" w:hAnsi="Arial"/>
          <w:strike/>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772115C7"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4B4D70A6" w14:textId="77777777" w:rsidR="000353B1" w:rsidRDefault="00B84A77">
      <w:pPr>
        <w:keepNext/>
        <w:numPr>
          <w:ilvl w:val="0"/>
          <w:numId w:val="4"/>
        </w:numPr>
        <w:pBdr>
          <w:top w:val="nil"/>
          <w:left w:val="nil"/>
          <w:bottom w:val="nil"/>
          <w:right w:val="nil"/>
          <w:between w:val="nil"/>
        </w:pBdr>
        <w:tabs>
          <w:tab w:val="left" w:pos="142"/>
        </w:tabs>
        <w:spacing w:before="120"/>
        <w:jc w:val="left"/>
        <w:rPr>
          <w:rFonts w:ascii="Arial" w:eastAsia="Arial" w:hAnsi="Arial"/>
          <w:b/>
          <w:smallCaps/>
          <w:strike/>
          <w:color w:val="000000"/>
          <w:sz w:val="24"/>
          <w:szCs w:val="24"/>
        </w:rPr>
      </w:pPr>
      <w:r>
        <w:rPr>
          <w:rFonts w:ascii="Arial" w:eastAsia="Arial" w:hAnsi="Arial"/>
          <w:b/>
          <w:strike/>
          <w:color w:val="000000"/>
          <w:sz w:val="24"/>
          <w:szCs w:val="24"/>
        </w:rPr>
        <w:lastRenderedPageBreak/>
        <w:t>What happens if there is a financial distress event</w:t>
      </w:r>
    </w:p>
    <w:p w14:paraId="74E765CC"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15" w:name="_heading=h.lnxbz9" w:colFirst="0" w:colLast="0"/>
      <w:bookmarkEnd w:id="15"/>
      <w:r>
        <w:rPr>
          <w:rFonts w:ascii="Arial" w:eastAsia="Arial" w:hAnsi="Arial"/>
          <w:strike/>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14:paraId="6C39269D" w14:textId="77777777" w:rsidR="000353B1" w:rsidRDefault="000353B1">
      <w:pPr>
        <w:pBdr>
          <w:top w:val="nil"/>
          <w:left w:val="nil"/>
          <w:bottom w:val="nil"/>
          <w:right w:val="nil"/>
          <w:between w:val="nil"/>
        </w:pBdr>
        <w:tabs>
          <w:tab w:val="left" w:pos="1134"/>
        </w:tabs>
        <w:spacing w:before="120" w:after="120"/>
        <w:jc w:val="left"/>
        <w:rPr>
          <w:rFonts w:ascii="Arial" w:eastAsia="Arial" w:hAnsi="Arial"/>
          <w:strike/>
          <w:color w:val="000000"/>
          <w:sz w:val="24"/>
          <w:szCs w:val="24"/>
        </w:rPr>
      </w:pPr>
      <w:bookmarkStart w:id="16" w:name="_heading=h.35nkun2" w:colFirst="0" w:colLast="0"/>
      <w:bookmarkEnd w:id="16"/>
    </w:p>
    <w:p w14:paraId="678B3744"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14:paraId="62D40AA3"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 xml:space="preserve">rectify such late or non-payment; or </w:t>
      </w:r>
    </w:p>
    <w:p w14:paraId="7BA8EE5F"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demonstrate to the Relevant Authority's reasonable satisfaction that there is a valid reason for late or non-payment.]</w:t>
      </w:r>
    </w:p>
    <w:p w14:paraId="1ACDA694" w14:textId="77777777" w:rsidR="000353B1" w:rsidRDefault="00B84A7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17" w:name="_heading=h.44sinio" w:colFirst="0" w:colLast="0"/>
      <w:bookmarkEnd w:id="17"/>
      <w:r>
        <w:rPr>
          <w:rFonts w:ascii="Arial" w:eastAsia="Arial" w:hAnsi="Arial"/>
          <w:strike/>
          <w:color w:val="000000"/>
          <w:sz w:val="24"/>
          <w:szCs w:val="24"/>
        </w:rPr>
        <w:t>The Supplier shall and shall procure that the other Monitored Companies shall:</w:t>
      </w:r>
    </w:p>
    <w:p w14:paraId="5E7C3D2D"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18" w:name="_heading=h.2jxsxqh" w:colFirst="0" w:colLast="0"/>
      <w:bookmarkEnd w:id="18"/>
      <w:r>
        <w:rPr>
          <w:rFonts w:ascii="Arial" w:eastAsia="Arial" w:hAnsi="Arial"/>
          <w:strike/>
          <w:color w:val="000000"/>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5F43D724"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19" w:name="_heading=h.z337ya" w:colFirst="0" w:colLast="0"/>
      <w:bookmarkEnd w:id="19"/>
      <w:r>
        <w:rPr>
          <w:rFonts w:ascii="Arial" w:eastAsia="Arial" w:hAnsi="Arial"/>
          <w:strike/>
          <w:color w:val="000000"/>
          <w:sz w:val="24"/>
          <w:szCs w:val="24"/>
        </w:rPr>
        <w:t>where the Relevant Authority reasonably believes (</w:t>
      </w:r>
      <w:proofErr w:type="gramStart"/>
      <w:r>
        <w:rPr>
          <w:rFonts w:ascii="Arial" w:eastAsia="Arial" w:hAnsi="Arial"/>
          <w:strike/>
          <w:color w:val="000000"/>
          <w:sz w:val="24"/>
          <w:szCs w:val="24"/>
        </w:rPr>
        <w:t>taking into account</w:t>
      </w:r>
      <w:proofErr w:type="gramEnd"/>
      <w:r>
        <w:rPr>
          <w:rFonts w:ascii="Arial" w:eastAsia="Arial" w:hAnsi="Arial"/>
          <w:strike/>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Call-Off Contract: </w:t>
      </w:r>
    </w:p>
    <w:p w14:paraId="48A15A37" w14:textId="77777777" w:rsidR="000353B1" w:rsidRDefault="00B84A77">
      <w:pPr>
        <w:numPr>
          <w:ilvl w:val="3"/>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14:paraId="710EDD86" w14:textId="77777777" w:rsidR="000353B1" w:rsidRDefault="00B84A77">
      <w:pPr>
        <w:numPr>
          <w:ilvl w:val="3"/>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20" w:name="_heading=h.3j2qqm3" w:colFirst="0" w:colLast="0"/>
      <w:bookmarkEnd w:id="20"/>
      <w:r>
        <w:rPr>
          <w:rFonts w:ascii="Arial" w:eastAsia="Arial" w:hAnsi="Arial"/>
          <w:strike/>
          <w:color w:val="000000"/>
          <w:sz w:val="24"/>
          <w:szCs w:val="24"/>
        </w:rPr>
        <w:t>provide such financial information relating to the Monitored Company as the Relevant Authority may reasonably require.</w:t>
      </w:r>
    </w:p>
    <w:p w14:paraId="62554CF2"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21" w:name="_heading=h.1y810tw" w:colFirst="0" w:colLast="0"/>
      <w:bookmarkEnd w:id="21"/>
      <w:r>
        <w:rPr>
          <w:rFonts w:ascii="Arial" w:eastAsia="Arial" w:hAnsi="Arial"/>
          <w:strike/>
          <w:color w:val="000000"/>
          <w:sz w:val="24"/>
          <w:szCs w:val="24"/>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w:t>
      </w:r>
      <w:r>
        <w:rPr>
          <w:rFonts w:ascii="Arial" w:eastAsia="Arial" w:hAnsi="Arial"/>
          <w:strike/>
          <w:color w:val="000000"/>
          <w:sz w:val="24"/>
          <w:szCs w:val="24"/>
        </w:rPr>
        <w:lastRenderedPageBreak/>
        <w:t>process shall be repeated until the Financial Distress Service Continuity Plan is Approved by the Relevant Authority or referred to the Dispute Resolution Procedure.</w:t>
      </w:r>
    </w:p>
    <w:p w14:paraId="7D75D613"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22" w:name="_heading=h.4i7ojhp" w:colFirst="0" w:colLast="0"/>
      <w:bookmarkEnd w:id="22"/>
      <w:r>
        <w:rPr>
          <w:rFonts w:ascii="Arial" w:eastAsia="Arial" w:hAnsi="Arial"/>
          <w:strike/>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2CA281E7" w14:textId="77777777" w:rsidR="000353B1" w:rsidRDefault="00B84A7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23" w:name="_heading=h.2xcytpi" w:colFirst="0" w:colLast="0"/>
      <w:bookmarkEnd w:id="23"/>
      <w:r>
        <w:rPr>
          <w:rFonts w:ascii="Arial" w:eastAsia="Arial" w:hAnsi="Arial"/>
          <w:strike/>
          <w:color w:val="000000"/>
          <w:sz w:val="24"/>
          <w:szCs w:val="24"/>
        </w:rPr>
        <w:t>Following Approval of the Financial Distress Service Continuity Plan by the Relevant Authority, the Supplier shall:</w:t>
      </w:r>
    </w:p>
    <w:p w14:paraId="715E3D14"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24" w:name="_heading=h.1ci93xb" w:colFirst="0" w:colLast="0"/>
      <w:bookmarkEnd w:id="24"/>
      <w:r>
        <w:rPr>
          <w:rFonts w:ascii="Arial" w:eastAsia="Arial" w:hAnsi="Arial"/>
          <w:strike/>
          <w:color w:val="000000"/>
          <w:sz w:val="24"/>
          <w:szCs w:val="24"/>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w:t>
      </w:r>
      <w:proofErr w:type="gramStart"/>
      <w:r>
        <w:rPr>
          <w:rFonts w:ascii="Arial" w:eastAsia="Arial" w:hAnsi="Arial"/>
          <w:strike/>
          <w:color w:val="000000"/>
          <w:sz w:val="24"/>
          <w:szCs w:val="24"/>
        </w:rPr>
        <w:t>Contract;</w:t>
      </w:r>
      <w:proofErr w:type="gramEnd"/>
    </w:p>
    <w:p w14:paraId="475A1104"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25" w:name="_heading=h.3whwml4" w:colFirst="0" w:colLast="0"/>
      <w:bookmarkEnd w:id="25"/>
      <w:r>
        <w:rPr>
          <w:rFonts w:ascii="Arial" w:eastAsia="Arial" w:hAnsi="Arial"/>
          <w:strike/>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654B9DE4"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26" w:name="_heading=h.2bn6wsx" w:colFirst="0" w:colLast="0"/>
      <w:bookmarkEnd w:id="26"/>
      <w:r>
        <w:rPr>
          <w:rFonts w:ascii="Arial" w:eastAsia="Arial" w:hAnsi="Arial"/>
          <w:strike/>
          <w:color w:val="000000"/>
          <w:sz w:val="24"/>
          <w:szCs w:val="24"/>
        </w:rPr>
        <w:t>comply with the Financial Distress Service Continuity Plan (including any updated Financial Distress Service Continuity Plan).</w:t>
      </w:r>
    </w:p>
    <w:p w14:paraId="20F5330F"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27" w:name="_heading=h.qsh70q" w:colFirst="0" w:colLast="0"/>
      <w:bookmarkEnd w:id="27"/>
      <w:r>
        <w:rPr>
          <w:rFonts w:ascii="Arial" w:eastAsia="Arial" w:hAnsi="Arial"/>
          <w:strike/>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14:paraId="79B48A42"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 xml:space="preserve">CCS shall be able to share any information it receives from the Buyer in accordance with this Paragraph with any Buyer who has </w:t>
      </w:r>
      <w:proofErr w:type="gramStart"/>
      <w:r>
        <w:rPr>
          <w:rFonts w:ascii="Arial" w:eastAsia="Arial" w:hAnsi="Arial"/>
          <w:strike/>
          <w:color w:val="000000"/>
          <w:sz w:val="24"/>
          <w:szCs w:val="24"/>
        </w:rPr>
        <w:t>entered into</w:t>
      </w:r>
      <w:proofErr w:type="gramEnd"/>
      <w:r>
        <w:rPr>
          <w:rFonts w:ascii="Arial" w:eastAsia="Arial" w:hAnsi="Arial"/>
          <w:strike/>
          <w:color w:val="000000"/>
          <w:sz w:val="24"/>
          <w:szCs w:val="24"/>
        </w:rPr>
        <w:t xml:space="preserve"> a Call-Off Contract with the Supplier.</w:t>
      </w:r>
    </w:p>
    <w:p w14:paraId="1E28EE94" w14:textId="77777777" w:rsidR="000353B1" w:rsidRDefault="00B84A77">
      <w:pPr>
        <w:keepNext/>
        <w:numPr>
          <w:ilvl w:val="0"/>
          <w:numId w:val="4"/>
        </w:numPr>
        <w:pBdr>
          <w:top w:val="nil"/>
          <w:left w:val="nil"/>
          <w:bottom w:val="nil"/>
          <w:right w:val="nil"/>
          <w:between w:val="nil"/>
        </w:pBdr>
        <w:tabs>
          <w:tab w:val="left" w:pos="142"/>
        </w:tabs>
        <w:spacing w:before="120"/>
        <w:jc w:val="left"/>
        <w:rPr>
          <w:rFonts w:ascii="Arial" w:eastAsia="Arial" w:hAnsi="Arial"/>
          <w:b/>
          <w:smallCaps/>
          <w:strike/>
          <w:color w:val="000000"/>
          <w:sz w:val="24"/>
          <w:szCs w:val="24"/>
        </w:rPr>
      </w:pPr>
      <w:r>
        <w:rPr>
          <w:rFonts w:ascii="Arial" w:eastAsia="Arial" w:hAnsi="Arial"/>
          <w:b/>
          <w:strike/>
          <w:color w:val="000000"/>
          <w:sz w:val="24"/>
          <w:szCs w:val="24"/>
        </w:rPr>
        <w:t xml:space="preserve">When CCS or the Buyer can terminate for financial distress </w:t>
      </w:r>
    </w:p>
    <w:p w14:paraId="23556D1F" w14:textId="77777777" w:rsidR="000353B1" w:rsidRDefault="00B84A7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28" w:name="_heading=h.3as4poj" w:colFirst="0" w:colLast="0"/>
      <w:bookmarkEnd w:id="28"/>
      <w:r>
        <w:rPr>
          <w:rFonts w:ascii="Arial" w:eastAsia="Arial" w:hAnsi="Arial"/>
          <w:strike/>
          <w:color w:val="000000"/>
          <w:sz w:val="24"/>
          <w:szCs w:val="24"/>
        </w:rPr>
        <w:t xml:space="preserve">CCS shall be entitled to terminate this Contract and Buyers shall be entitled to terminate their Call-Off Contracts for material Default if: </w:t>
      </w:r>
    </w:p>
    <w:p w14:paraId="1F48116F"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the Supplier fails to notify the Relevant Authority of a Financial Distress Event in accordance with Paragraph </w:t>
      </w:r>
      <w:proofErr w:type="gramStart"/>
      <w:r>
        <w:rPr>
          <w:rFonts w:ascii="Arial" w:eastAsia="Arial" w:hAnsi="Arial"/>
          <w:strike/>
          <w:color w:val="000000"/>
          <w:sz w:val="24"/>
          <w:szCs w:val="24"/>
        </w:rPr>
        <w:t>3.4;</w:t>
      </w:r>
      <w:proofErr w:type="gramEnd"/>
      <w:r>
        <w:rPr>
          <w:rFonts w:ascii="Arial" w:eastAsia="Arial" w:hAnsi="Arial"/>
          <w:strike/>
          <w:color w:val="000000"/>
          <w:sz w:val="24"/>
          <w:szCs w:val="24"/>
        </w:rPr>
        <w:t xml:space="preserve"> </w:t>
      </w:r>
    </w:p>
    <w:p w14:paraId="2AD19AA1"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The Relevant Authority and the Supplier fail to agree a Financial Distress Service Continuity Plan (or any updated Financial Distress Service Continuity Plan) in accordance with Paragraphs 4.3 to 4.5; and/or</w:t>
      </w:r>
    </w:p>
    <w:p w14:paraId="4625DB05"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lastRenderedPageBreak/>
        <w:t>the Supplier fails to comply with the terms of the Financial Distress Service Continuity Plan (or any updated Financial Distress Service Continuity Plan) in accordance with Paragraph 4.6.3.</w:t>
      </w:r>
    </w:p>
    <w:p w14:paraId="35502210" w14:textId="77777777" w:rsidR="000353B1" w:rsidRDefault="00B84A7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If the Contract is terminated in accordance with Paragraph 5.1, Clauses 10.6.1 and 10.6.2 of the Core Terms shall apply as if the Contract had been terminated under Clause 10.4.1.</w:t>
      </w:r>
    </w:p>
    <w:p w14:paraId="5E379215" w14:textId="77777777" w:rsidR="000353B1" w:rsidRDefault="00B84A77">
      <w:pPr>
        <w:keepNext/>
        <w:numPr>
          <w:ilvl w:val="0"/>
          <w:numId w:val="4"/>
        </w:numPr>
        <w:pBdr>
          <w:top w:val="nil"/>
          <w:left w:val="nil"/>
          <w:bottom w:val="nil"/>
          <w:right w:val="nil"/>
          <w:between w:val="nil"/>
        </w:pBdr>
        <w:tabs>
          <w:tab w:val="left" w:pos="142"/>
        </w:tabs>
        <w:spacing w:before="120"/>
        <w:jc w:val="left"/>
        <w:rPr>
          <w:rFonts w:ascii="Arial" w:eastAsia="Arial" w:hAnsi="Arial"/>
          <w:b/>
          <w:smallCaps/>
          <w:strike/>
          <w:color w:val="000000"/>
          <w:sz w:val="24"/>
          <w:szCs w:val="24"/>
        </w:rPr>
      </w:pPr>
      <w:bookmarkStart w:id="29" w:name="_heading=h.1pxezwc" w:colFirst="0" w:colLast="0"/>
      <w:bookmarkEnd w:id="29"/>
      <w:r>
        <w:rPr>
          <w:rFonts w:ascii="Arial" w:eastAsia="Arial" w:hAnsi="Arial"/>
          <w:b/>
          <w:strike/>
          <w:color w:val="000000"/>
          <w:sz w:val="24"/>
          <w:szCs w:val="24"/>
        </w:rPr>
        <w:t>What happens If your credit rating is still good</w:t>
      </w:r>
    </w:p>
    <w:p w14:paraId="14EC1A68"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40BDB50A"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the Supplier shall be relieved automatically of its obligations under Paragraphs 4.3 to 4.6; and</w:t>
      </w:r>
    </w:p>
    <w:p w14:paraId="48D70F62"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 xml:space="preserve">The Relevant Authority shall not be entitled to require the Supplier to provide financial information in accordance with Paragraph 4.3.2(b). </w:t>
      </w:r>
    </w:p>
    <w:p w14:paraId="7D75F8C4" w14:textId="77777777" w:rsidR="000353B1" w:rsidRDefault="000353B1"/>
    <w:p w14:paraId="31D57310" w14:textId="77777777" w:rsidR="000353B1" w:rsidRDefault="000353B1">
      <w:pPr>
        <w:pBdr>
          <w:top w:val="nil"/>
          <w:left w:val="nil"/>
          <w:bottom w:val="nil"/>
          <w:right w:val="nil"/>
          <w:between w:val="nil"/>
        </w:pBdr>
        <w:spacing w:after="0"/>
        <w:jc w:val="left"/>
        <w:rPr>
          <w:rFonts w:ascii="Arial" w:eastAsia="Arial" w:hAnsi="Arial"/>
          <w:color w:val="FFFFFF"/>
          <w:sz w:val="24"/>
          <w:szCs w:val="24"/>
        </w:rPr>
      </w:pPr>
    </w:p>
    <w:p w14:paraId="64ABEA07" w14:textId="77777777" w:rsidR="000353B1" w:rsidRDefault="00B84A77">
      <w:pPr>
        <w:keepNext/>
        <w:pBdr>
          <w:top w:val="nil"/>
          <w:left w:val="nil"/>
          <w:bottom w:val="nil"/>
          <w:right w:val="nil"/>
          <w:between w:val="nil"/>
        </w:pBdr>
        <w:ind w:firstLine="426"/>
        <w:jc w:val="left"/>
        <w:rPr>
          <w:rFonts w:ascii="Arial" w:eastAsia="Arial" w:hAnsi="Arial"/>
          <w:b/>
          <w:smallCaps/>
          <w:color w:val="000000"/>
          <w:sz w:val="24"/>
          <w:szCs w:val="24"/>
        </w:rPr>
      </w:pPr>
      <w:bookmarkStart w:id="30" w:name="_heading=h.49x2ik5" w:colFirst="0" w:colLast="0"/>
      <w:bookmarkEnd w:id="30"/>
      <w:r>
        <w:br w:type="page"/>
      </w:r>
    </w:p>
    <w:p w14:paraId="323DF7BE" w14:textId="77777777" w:rsidR="000353B1" w:rsidRDefault="00B84A77">
      <w:pPr>
        <w:keepNext/>
        <w:pBdr>
          <w:top w:val="nil"/>
          <w:left w:val="nil"/>
          <w:bottom w:val="nil"/>
          <w:right w:val="nil"/>
          <w:between w:val="nil"/>
        </w:pBdr>
        <w:ind w:firstLine="426"/>
        <w:jc w:val="left"/>
        <w:rPr>
          <w:rFonts w:ascii="Arial" w:eastAsia="Arial" w:hAnsi="Arial"/>
          <w:b/>
          <w:smallCaps/>
          <w:strike/>
          <w:sz w:val="36"/>
          <w:szCs w:val="36"/>
        </w:rPr>
      </w:pPr>
      <w:bookmarkStart w:id="31" w:name="_heading=h.2p2csry" w:colFirst="0" w:colLast="0"/>
      <w:bookmarkEnd w:id="31"/>
      <w:r>
        <w:rPr>
          <w:rFonts w:ascii="Arial" w:eastAsia="Arial" w:hAnsi="Arial"/>
          <w:b/>
          <w:smallCaps/>
          <w:strike/>
          <w:color w:val="000000"/>
          <w:sz w:val="36"/>
          <w:szCs w:val="36"/>
        </w:rPr>
        <w:lastRenderedPageBreak/>
        <w:t>Appendix 1: RATING AGENCIE</w:t>
      </w:r>
      <w:r>
        <w:rPr>
          <w:rFonts w:ascii="Arial" w:eastAsia="Arial" w:hAnsi="Arial"/>
          <w:b/>
          <w:smallCaps/>
          <w:strike/>
          <w:sz w:val="36"/>
          <w:szCs w:val="36"/>
        </w:rPr>
        <w:t>S</w:t>
      </w:r>
    </w:p>
    <w:p w14:paraId="0E560EC4" w14:textId="77777777" w:rsidR="000353B1" w:rsidRDefault="00B84A77">
      <w:pPr>
        <w:keepNext/>
        <w:pBdr>
          <w:top w:val="nil"/>
          <w:left w:val="nil"/>
          <w:bottom w:val="nil"/>
          <w:right w:val="nil"/>
          <w:between w:val="nil"/>
        </w:pBdr>
        <w:spacing w:before="240" w:after="120"/>
        <w:ind w:left="142"/>
        <w:jc w:val="left"/>
        <w:rPr>
          <w:rFonts w:ascii="Arial" w:eastAsia="Arial" w:hAnsi="Arial"/>
          <w:strike/>
          <w:color w:val="000000"/>
          <w:sz w:val="24"/>
          <w:szCs w:val="24"/>
        </w:rPr>
      </w:pPr>
      <w:r>
        <w:rPr>
          <w:rFonts w:ascii="Arial" w:eastAsia="Arial" w:hAnsi="Arial"/>
          <w:strike/>
          <w:sz w:val="24"/>
          <w:szCs w:val="24"/>
        </w:rPr>
        <w:t>Dun and Bradstreet</w:t>
      </w:r>
    </w:p>
    <w:p w14:paraId="16812768" w14:textId="77777777" w:rsidR="000353B1" w:rsidRDefault="00B84A77">
      <w:pPr>
        <w:keepNext/>
        <w:pBdr>
          <w:top w:val="nil"/>
          <w:left w:val="nil"/>
          <w:bottom w:val="nil"/>
          <w:right w:val="nil"/>
          <w:between w:val="nil"/>
        </w:pBdr>
        <w:ind w:firstLine="426"/>
        <w:jc w:val="left"/>
        <w:rPr>
          <w:rFonts w:ascii="Arial" w:eastAsia="Arial" w:hAnsi="Arial"/>
          <w:b/>
          <w:smallCaps/>
          <w:strike/>
          <w:color w:val="000000"/>
          <w:sz w:val="24"/>
          <w:szCs w:val="24"/>
        </w:rPr>
      </w:pPr>
      <w:bookmarkStart w:id="32" w:name="_heading=h.147n2zr" w:colFirst="0" w:colLast="0"/>
      <w:bookmarkEnd w:id="32"/>
      <w:r>
        <w:br w:type="page"/>
      </w:r>
      <w:r>
        <w:rPr>
          <w:rFonts w:ascii="Arial" w:eastAsia="Arial" w:hAnsi="Arial"/>
          <w:b/>
          <w:smallCaps/>
          <w:strike/>
          <w:color w:val="000000"/>
          <w:sz w:val="36"/>
          <w:szCs w:val="36"/>
        </w:rPr>
        <w:lastRenderedPageBreak/>
        <w:t>Appendix 2: CREDIT RATINGS &amp; CREDIT RATING THRESHOLDS</w:t>
      </w:r>
    </w:p>
    <w:p w14:paraId="73D18F14" w14:textId="77777777" w:rsidR="000353B1" w:rsidRDefault="00B84A77">
      <w:pPr>
        <w:keepNext/>
        <w:pBdr>
          <w:top w:val="nil"/>
          <w:left w:val="nil"/>
          <w:bottom w:val="nil"/>
          <w:right w:val="nil"/>
          <w:between w:val="nil"/>
        </w:pBdr>
        <w:ind w:firstLine="426"/>
        <w:jc w:val="left"/>
        <w:rPr>
          <w:rFonts w:ascii="Arial" w:eastAsia="Arial" w:hAnsi="Arial"/>
          <w:b/>
          <w:smallCaps/>
          <w:strike/>
          <w:color w:val="000000"/>
          <w:sz w:val="24"/>
          <w:szCs w:val="24"/>
        </w:rPr>
      </w:pPr>
      <w:r>
        <w:rPr>
          <w:rFonts w:ascii="Arial" w:eastAsia="Arial" w:hAnsi="Arial"/>
          <w:b/>
          <w:strike/>
          <w:color w:val="000000"/>
          <w:sz w:val="24"/>
          <w:szCs w:val="24"/>
        </w:rPr>
        <w:t>Part 1: Current Rating - Lot 1a, 2a and 3a</w:t>
      </w:r>
    </w:p>
    <w:tbl>
      <w:tblPr>
        <w:tblStyle w:val="affb"/>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4336397B" w14:textId="77777777">
        <w:tc>
          <w:tcPr>
            <w:tcW w:w="3080" w:type="dxa"/>
            <w:tcBorders>
              <w:top w:val="single" w:sz="4" w:space="0" w:color="000000"/>
            </w:tcBorders>
            <w:shd w:val="clear" w:color="auto" w:fill="FFFFFF"/>
          </w:tcPr>
          <w:p w14:paraId="496AEB59" w14:textId="77777777" w:rsidR="000353B1" w:rsidRDefault="00B84A77">
            <w:pPr>
              <w:keepNext/>
              <w:pBdr>
                <w:top w:val="nil"/>
                <w:left w:val="nil"/>
                <w:bottom w:val="nil"/>
                <w:right w:val="nil"/>
                <w:between w:val="nil"/>
              </w:pBdr>
              <w:spacing w:before="240" w:after="120"/>
              <w:ind w:left="142"/>
              <w:jc w:val="left"/>
              <w:rPr>
                <w:rFonts w:ascii="Arial" w:eastAsia="Arial" w:hAnsi="Arial"/>
                <w:b/>
                <w:strike/>
                <w:color w:val="000000"/>
                <w:sz w:val="24"/>
                <w:szCs w:val="24"/>
              </w:rPr>
            </w:pPr>
            <w:r>
              <w:rPr>
                <w:rFonts w:ascii="Arial" w:eastAsia="Arial" w:hAnsi="Arial"/>
                <w:b/>
                <w:strike/>
                <w:color w:val="000000"/>
                <w:sz w:val="24"/>
                <w:szCs w:val="24"/>
              </w:rPr>
              <w:t>Entity</w:t>
            </w:r>
          </w:p>
        </w:tc>
        <w:tc>
          <w:tcPr>
            <w:tcW w:w="3081" w:type="dxa"/>
            <w:tcBorders>
              <w:top w:val="single" w:sz="4" w:space="0" w:color="000000"/>
            </w:tcBorders>
            <w:shd w:val="clear" w:color="auto" w:fill="FFFFFF"/>
          </w:tcPr>
          <w:p w14:paraId="25D3A38E" w14:textId="77777777" w:rsidR="000353B1" w:rsidRDefault="00B84A77">
            <w:pPr>
              <w:keepNext/>
              <w:pBdr>
                <w:top w:val="nil"/>
                <w:left w:val="nil"/>
                <w:bottom w:val="nil"/>
                <w:right w:val="nil"/>
                <w:between w:val="nil"/>
              </w:pBdr>
              <w:spacing w:before="240" w:after="120"/>
              <w:ind w:left="142"/>
              <w:jc w:val="left"/>
              <w:rPr>
                <w:rFonts w:ascii="Arial" w:eastAsia="Arial" w:hAnsi="Arial"/>
                <w:b/>
                <w:strike/>
                <w:color w:val="000000"/>
                <w:sz w:val="24"/>
                <w:szCs w:val="24"/>
              </w:rPr>
            </w:pPr>
            <w:r>
              <w:rPr>
                <w:rFonts w:ascii="Arial" w:eastAsia="Arial" w:hAnsi="Arial"/>
                <w:b/>
                <w:strike/>
                <w:color w:val="000000"/>
                <w:sz w:val="24"/>
                <w:szCs w:val="24"/>
              </w:rPr>
              <w:t>Credit rating (long term)</w:t>
            </w:r>
          </w:p>
        </w:tc>
      </w:tr>
      <w:tr w:rsidR="000353B1" w14:paraId="470BB9FD" w14:textId="77777777">
        <w:tc>
          <w:tcPr>
            <w:tcW w:w="3080" w:type="dxa"/>
            <w:shd w:val="clear" w:color="auto" w:fill="FFFFFF"/>
          </w:tcPr>
          <w:p w14:paraId="1247F4AF" w14:textId="77777777" w:rsidR="000353B1" w:rsidRDefault="00B84A77">
            <w:pPr>
              <w:keepNext/>
              <w:pBdr>
                <w:top w:val="nil"/>
                <w:left w:val="nil"/>
                <w:bottom w:val="nil"/>
                <w:right w:val="nil"/>
                <w:between w:val="nil"/>
              </w:pBdr>
              <w:spacing w:before="240" w:after="120"/>
              <w:ind w:left="142"/>
              <w:jc w:val="left"/>
              <w:rPr>
                <w:rFonts w:ascii="Arial" w:eastAsia="Arial" w:hAnsi="Arial"/>
                <w:strike/>
                <w:color w:val="000000"/>
                <w:sz w:val="24"/>
                <w:szCs w:val="24"/>
              </w:rPr>
            </w:pPr>
            <w:r>
              <w:rPr>
                <w:rFonts w:ascii="Arial" w:eastAsia="Arial" w:hAnsi="Arial"/>
                <w:strike/>
                <w:color w:val="000000"/>
                <w:sz w:val="24"/>
                <w:szCs w:val="24"/>
              </w:rPr>
              <w:t>Supplier</w:t>
            </w:r>
          </w:p>
        </w:tc>
        <w:tc>
          <w:tcPr>
            <w:tcW w:w="3081" w:type="dxa"/>
            <w:shd w:val="clear" w:color="auto" w:fill="FFFFFF"/>
          </w:tcPr>
          <w:p w14:paraId="6D829E9C" w14:textId="77777777" w:rsidR="000353B1" w:rsidRDefault="00B84A77">
            <w:pPr>
              <w:keepNext/>
              <w:pBdr>
                <w:top w:val="nil"/>
                <w:left w:val="nil"/>
                <w:bottom w:val="nil"/>
                <w:right w:val="nil"/>
                <w:between w:val="nil"/>
              </w:pBdr>
              <w:spacing w:before="240" w:after="120"/>
              <w:ind w:left="142"/>
              <w:jc w:val="left"/>
              <w:rPr>
                <w:rFonts w:ascii="Arial" w:eastAsia="Arial" w:hAnsi="Arial"/>
                <w:strike/>
                <w:color w:val="000000"/>
                <w:sz w:val="24"/>
                <w:szCs w:val="24"/>
              </w:rPr>
            </w:pPr>
            <w:r>
              <w:rPr>
                <w:rFonts w:ascii="Arial" w:eastAsia="Arial" w:hAnsi="Arial"/>
                <w:strike/>
                <w:sz w:val="24"/>
                <w:szCs w:val="24"/>
              </w:rPr>
              <w:t>45</w:t>
            </w:r>
          </w:p>
        </w:tc>
      </w:tr>
      <w:tr w:rsidR="000353B1" w14:paraId="0E67A4FE" w14:textId="77777777">
        <w:tc>
          <w:tcPr>
            <w:tcW w:w="3080" w:type="dxa"/>
            <w:shd w:val="clear" w:color="auto" w:fill="FFFFFF"/>
          </w:tcPr>
          <w:p w14:paraId="27EAE75E" w14:textId="77777777" w:rsidR="000353B1" w:rsidRDefault="00B84A77">
            <w:pPr>
              <w:keepNext/>
              <w:pBdr>
                <w:top w:val="nil"/>
                <w:left w:val="nil"/>
                <w:bottom w:val="nil"/>
                <w:right w:val="nil"/>
                <w:between w:val="nil"/>
              </w:pBdr>
              <w:spacing w:before="240" w:after="120"/>
              <w:ind w:left="142"/>
              <w:jc w:val="left"/>
              <w:rPr>
                <w:rFonts w:ascii="Arial" w:eastAsia="Arial" w:hAnsi="Arial"/>
                <w:strike/>
                <w:color w:val="000000"/>
                <w:sz w:val="24"/>
                <w:szCs w:val="24"/>
              </w:rPr>
            </w:pPr>
            <w:r>
              <w:rPr>
                <w:rFonts w:ascii="Arial" w:eastAsia="Arial" w:hAnsi="Arial"/>
                <w:strike/>
                <w:color w:val="000000"/>
                <w:sz w:val="24"/>
                <w:szCs w:val="24"/>
              </w:rPr>
              <w:t>[Guarantor]</w:t>
            </w:r>
          </w:p>
        </w:tc>
        <w:tc>
          <w:tcPr>
            <w:tcW w:w="3081" w:type="dxa"/>
            <w:shd w:val="clear" w:color="auto" w:fill="FFFFFF"/>
          </w:tcPr>
          <w:p w14:paraId="79BACD6C" w14:textId="77777777" w:rsidR="000353B1" w:rsidRDefault="000353B1">
            <w:pPr>
              <w:keepNext/>
              <w:pBdr>
                <w:top w:val="nil"/>
                <w:left w:val="nil"/>
                <w:bottom w:val="nil"/>
                <w:right w:val="nil"/>
                <w:between w:val="nil"/>
              </w:pBdr>
              <w:spacing w:before="240" w:after="120"/>
              <w:ind w:left="142"/>
              <w:jc w:val="left"/>
              <w:rPr>
                <w:rFonts w:ascii="Arial" w:eastAsia="Arial" w:hAnsi="Arial"/>
                <w:strike/>
                <w:color w:val="000000"/>
                <w:sz w:val="24"/>
                <w:szCs w:val="24"/>
              </w:rPr>
            </w:pPr>
          </w:p>
        </w:tc>
      </w:tr>
      <w:tr w:rsidR="000353B1" w14:paraId="04AB065B" w14:textId="77777777">
        <w:tc>
          <w:tcPr>
            <w:tcW w:w="3080" w:type="dxa"/>
            <w:tcBorders>
              <w:bottom w:val="single" w:sz="4" w:space="0" w:color="000000"/>
            </w:tcBorders>
            <w:shd w:val="clear" w:color="auto" w:fill="FFFFFF"/>
          </w:tcPr>
          <w:p w14:paraId="39316862" w14:textId="77777777" w:rsidR="000353B1" w:rsidRDefault="00B84A77">
            <w:pPr>
              <w:keepNext/>
              <w:pBdr>
                <w:top w:val="nil"/>
                <w:left w:val="nil"/>
                <w:bottom w:val="nil"/>
                <w:right w:val="nil"/>
                <w:between w:val="nil"/>
              </w:pBdr>
              <w:spacing w:before="240" w:after="120"/>
              <w:ind w:left="142"/>
              <w:jc w:val="left"/>
              <w:rPr>
                <w:rFonts w:ascii="Arial" w:eastAsia="Arial" w:hAnsi="Arial"/>
                <w:strike/>
                <w:color w:val="000000"/>
                <w:sz w:val="24"/>
                <w:szCs w:val="24"/>
              </w:rPr>
            </w:pPr>
            <w:r>
              <w:rPr>
                <w:rFonts w:ascii="Arial" w:eastAsia="Arial" w:hAnsi="Arial"/>
                <w:strike/>
                <w:color w:val="000000"/>
                <w:sz w:val="24"/>
                <w:szCs w:val="24"/>
              </w:rPr>
              <w:t>[Key Subcontractor]</w:t>
            </w:r>
          </w:p>
        </w:tc>
        <w:tc>
          <w:tcPr>
            <w:tcW w:w="3081" w:type="dxa"/>
            <w:tcBorders>
              <w:bottom w:val="single" w:sz="4" w:space="0" w:color="000000"/>
            </w:tcBorders>
            <w:shd w:val="clear" w:color="auto" w:fill="FFFFFF"/>
          </w:tcPr>
          <w:p w14:paraId="377E55B6" w14:textId="77777777" w:rsidR="000353B1" w:rsidRDefault="000353B1">
            <w:pPr>
              <w:keepNext/>
              <w:pBdr>
                <w:top w:val="nil"/>
                <w:left w:val="nil"/>
                <w:bottom w:val="nil"/>
                <w:right w:val="nil"/>
                <w:between w:val="nil"/>
              </w:pBdr>
              <w:spacing w:before="240" w:after="120"/>
              <w:ind w:left="142"/>
              <w:jc w:val="left"/>
              <w:rPr>
                <w:rFonts w:ascii="Arial" w:eastAsia="Arial" w:hAnsi="Arial"/>
                <w:strike/>
                <w:color w:val="000000"/>
                <w:sz w:val="24"/>
                <w:szCs w:val="24"/>
              </w:rPr>
            </w:pPr>
          </w:p>
        </w:tc>
      </w:tr>
    </w:tbl>
    <w:p w14:paraId="301F7F5E" w14:textId="77777777" w:rsidR="000353B1" w:rsidRDefault="000353B1">
      <w:pPr>
        <w:spacing w:after="0"/>
        <w:rPr>
          <w:rFonts w:ascii="Arial" w:eastAsia="Arial" w:hAnsi="Arial"/>
          <w:strike/>
          <w:sz w:val="24"/>
          <w:szCs w:val="24"/>
        </w:rPr>
      </w:pPr>
    </w:p>
    <w:p w14:paraId="4365F65D" w14:textId="77777777" w:rsidR="000353B1" w:rsidRDefault="000353B1">
      <w:pPr>
        <w:spacing w:after="0"/>
        <w:rPr>
          <w:rFonts w:ascii="Arial" w:eastAsia="Arial" w:hAnsi="Arial"/>
          <w:strike/>
          <w:sz w:val="24"/>
          <w:szCs w:val="24"/>
        </w:rPr>
      </w:pPr>
    </w:p>
    <w:p w14:paraId="39A936FC" w14:textId="77777777" w:rsidR="000353B1" w:rsidRDefault="00B84A77">
      <w:pPr>
        <w:keepNext/>
        <w:jc w:val="left"/>
        <w:rPr>
          <w:rFonts w:ascii="Arial" w:eastAsia="Arial" w:hAnsi="Arial"/>
          <w:b/>
          <w:smallCaps/>
          <w:strike/>
          <w:sz w:val="24"/>
          <w:szCs w:val="24"/>
        </w:rPr>
      </w:pPr>
      <w:r>
        <w:rPr>
          <w:rFonts w:ascii="Arial" w:eastAsia="Arial" w:hAnsi="Arial"/>
          <w:b/>
          <w:strike/>
          <w:sz w:val="24"/>
          <w:szCs w:val="24"/>
        </w:rPr>
        <w:t>Current Rating - Lot 1b, 2b and 3b</w:t>
      </w:r>
    </w:p>
    <w:tbl>
      <w:tblPr>
        <w:tblStyle w:val="affc"/>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6A6C3B4A" w14:textId="77777777">
        <w:tc>
          <w:tcPr>
            <w:tcW w:w="3080" w:type="dxa"/>
            <w:tcBorders>
              <w:top w:val="single" w:sz="4" w:space="0" w:color="000000"/>
            </w:tcBorders>
            <w:shd w:val="clear" w:color="auto" w:fill="FFFFFF"/>
          </w:tcPr>
          <w:p w14:paraId="2BAF3C49"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Entity</w:t>
            </w:r>
          </w:p>
        </w:tc>
        <w:tc>
          <w:tcPr>
            <w:tcW w:w="3081" w:type="dxa"/>
            <w:tcBorders>
              <w:top w:val="single" w:sz="4" w:space="0" w:color="000000"/>
            </w:tcBorders>
            <w:shd w:val="clear" w:color="auto" w:fill="FFFFFF"/>
          </w:tcPr>
          <w:p w14:paraId="7CA89515"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Credit rating (long term)</w:t>
            </w:r>
          </w:p>
        </w:tc>
      </w:tr>
      <w:tr w:rsidR="000353B1" w14:paraId="518E306D" w14:textId="77777777">
        <w:tc>
          <w:tcPr>
            <w:tcW w:w="3080" w:type="dxa"/>
            <w:shd w:val="clear" w:color="auto" w:fill="FFFFFF"/>
          </w:tcPr>
          <w:p w14:paraId="552B7F0A"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Supplier</w:t>
            </w:r>
          </w:p>
        </w:tc>
        <w:tc>
          <w:tcPr>
            <w:tcW w:w="3081" w:type="dxa"/>
            <w:shd w:val="clear" w:color="auto" w:fill="FFFFFF"/>
          </w:tcPr>
          <w:p w14:paraId="00B597D3"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60</w:t>
            </w:r>
          </w:p>
        </w:tc>
      </w:tr>
      <w:tr w:rsidR="000353B1" w14:paraId="523E7A61" w14:textId="77777777">
        <w:tc>
          <w:tcPr>
            <w:tcW w:w="3080" w:type="dxa"/>
            <w:shd w:val="clear" w:color="auto" w:fill="FFFFFF"/>
          </w:tcPr>
          <w:p w14:paraId="56E496F8"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81" w:type="dxa"/>
            <w:shd w:val="clear" w:color="auto" w:fill="FFFFFF"/>
          </w:tcPr>
          <w:p w14:paraId="1A809771" w14:textId="77777777" w:rsidR="000353B1" w:rsidRDefault="000353B1">
            <w:pPr>
              <w:keepNext/>
              <w:spacing w:before="240" w:after="120"/>
              <w:ind w:left="142"/>
              <w:jc w:val="left"/>
              <w:rPr>
                <w:rFonts w:ascii="Arial" w:eastAsia="Arial" w:hAnsi="Arial"/>
                <w:strike/>
                <w:sz w:val="24"/>
                <w:szCs w:val="24"/>
              </w:rPr>
            </w:pPr>
          </w:p>
        </w:tc>
      </w:tr>
      <w:tr w:rsidR="000353B1" w14:paraId="0336FEBA" w14:textId="77777777">
        <w:tc>
          <w:tcPr>
            <w:tcW w:w="3080" w:type="dxa"/>
            <w:tcBorders>
              <w:bottom w:val="single" w:sz="4" w:space="0" w:color="000000"/>
            </w:tcBorders>
            <w:shd w:val="clear" w:color="auto" w:fill="FFFFFF"/>
          </w:tcPr>
          <w:p w14:paraId="41E9BB26"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[Key Subcontractor]</w:t>
            </w:r>
          </w:p>
        </w:tc>
        <w:tc>
          <w:tcPr>
            <w:tcW w:w="3081" w:type="dxa"/>
            <w:tcBorders>
              <w:bottom w:val="single" w:sz="4" w:space="0" w:color="000000"/>
            </w:tcBorders>
            <w:shd w:val="clear" w:color="auto" w:fill="FFFFFF"/>
          </w:tcPr>
          <w:p w14:paraId="3EBD6776" w14:textId="77777777" w:rsidR="000353B1" w:rsidRDefault="000353B1">
            <w:pPr>
              <w:keepNext/>
              <w:spacing w:before="240" w:after="120"/>
              <w:ind w:left="142"/>
              <w:jc w:val="left"/>
              <w:rPr>
                <w:rFonts w:ascii="Arial" w:eastAsia="Arial" w:hAnsi="Arial"/>
                <w:strike/>
                <w:sz w:val="24"/>
                <w:szCs w:val="24"/>
              </w:rPr>
            </w:pPr>
          </w:p>
        </w:tc>
      </w:tr>
    </w:tbl>
    <w:p w14:paraId="6FD6C56A" w14:textId="77777777" w:rsidR="000353B1" w:rsidRDefault="000353B1">
      <w:pPr>
        <w:spacing w:after="0"/>
        <w:rPr>
          <w:rFonts w:ascii="Arial" w:eastAsia="Arial" w:hAnsi="Arial"/>
          <w:strike/>
          <w:sz w:val="24"/>
          <w:szCs w:val="24"/>
        </w:rPr>
      </w:pPr>
    </w:p>
    <w:p w14:paraId="1D6054EB" w14:textId="77777777" w:rsidR="000353B1" w:rsidRDefault="000353B1">
      <w:pPr>
        <w:spacing w:after="0"/>
        <w:rPr>
          <w:rFonts w:ascii="Arial" w:eastAsia="Arial" w:hAnsi="Arial"/>
          <w:strike/>
          <w:sz w:val="24"/>
          <w:szCs w:val="24"/>
        </w:rPr>
      </w:pPr>
    </w:p>
    <w:p w14:paraId="13A68B06" w14:textId="77777777" w:rsidR="000353B1" w:rsidRDefault="00B84A77">
      <w:pPr>
        <w:keepNext/>
        <w:jc w:val="left"/>
        <w:rPr>
          <w:rFonts w:ascii="Arial" w:eastAsia="Arial" w:hAnsi="Arial"/>
          <w:b/>
          <w:smallCaps/>
          <w:strike/>
          <w:sz w:val="24"/>
          <w:szCs w:val="24"/>
        </w:rPr>
      </w:pPr>
      <w:r>
        <w:rPr>
          <w:rFonts w:ascii="Arial" w:eastAsia="Arial" w:hAnsi="Arial"/>
          <w:b/>
          <w:strike/>
          <w:sz w:val="24"/>
          <w:szCs w:val="24"/>
        </w:rPr>
        <w:t>Current Rating - Lot 1c, 2c and 3c</w:t>
      </w:r>
    </w:p>
    <w:tbl>
      <w:tblPr>
        <w:tblStyle w:val="affd"/>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1FF7BA28" w14:textId="77777777">
        <w:tc>
          <w:tcPr>
            <w:tcW w:w="3080" w:type="dxa"/>
            <w:tcBorders>
              <w:top w:val="single" w:sz="4" w:space="0" w:color="000000"/>
            </w:tcBorders>
            <w:shd w:val="clear" w:color="auto" w:fill="FFFFFF"/>
          </w:tcPr>
          <w:p w14:paraId="77301BE0"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Entity</w:t>
            </w:r>
          </w:p>
        </w:tc>
        <w:tc>
          <w:tcPr>
            <w:tcW w:w="3081" w:type="dxa"/>
            <w:tcBorders>
              <w:top w:val="single" w:sz="4" w:space="0" w:color="000000"/>
            </w:tcBorders>
            <w:shd w:val="clear" w:color="auto" w:fill="FFFFFF"/>
          </w:tcPr>
          <w:p w14:paraId="0BAA5125"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Credit rating (long term)</w:t>
            </w:r>
          </w:p>
        </w:tc>
      </w:tr>
      <w:tr w:rsidR="000353B1" w14:paraId="1DA7B5CB" w14:textId="77777777">
        <w:tc>
          <w:tcPr>
            <w:tcW w:w="3080" w:type="dxa"/>
            <w:shd w:val="clear" w:color="auto" w:fill="FFFFFF"/>
          </w:tcPr>
          <w:p w14:paraId="7DAD4F78"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Supplier</w:t>
            </w:r>
          </w:p>
        </w:tc>
        <w:tc>
          <w:tcPr>
            <w:tcW w:w="3081" w:type="dxa"/>
            <w:shd w:val="clear" w:color="auto" w:fill="FFFFFF"/>
          </w:tcPr>
          <w:p w14:paraId="7CCE9E9C"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70</w:t>
            </w:r>
          </w:p>
        </w:tc>
      </w:tr>
      <w:tr w:rsidR="000353B1" w14:paraId="66C219A2" w14:textId="77777777">
        <w:tc>
          <w:tcPr>
            <w:tcW w:w="3080" w:type="dxa"/>
            <w:shd w:val="clear" w:color="auto" w:fill="FFFFFF"/>
          </w:tcPr>
          <w:p w14:paraId="45F5EE9C"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81" w:type="dxa"/>
            <w:shd w:val="clear" w:color="auto" w:fill="FFFFFF"/>
          </w:tcPr>
          <w:p w14:paraId="06CFA38D" w14:textId="77777777" w:rsidR="000353B1" w:rsidRDefault="000353B1">
            <w:pPr>
              <w:keepNext/>
              <w:spacing w:before="240" w:after="120"/>
              <w:ind w:left="142"/>
              <w:jc w:val="left"/>
              <w:rPr>
                <w:rFonts w:ascii="Arial" w:eastAsia="Arial" w:hAnsi="Arial"/>
                <w:strike/>
                <w:sz w:val="24"/>
                <w:szCs w:val="24"/>
              </w:rPr>
            </w:pPr>
          </w:p>
        </w:tc>
      </w:tr>
      <w:tr w:rsidR="000353B1" w14:paraId="5F1693CF" w14:textId="77777777">
        <w:tc>
          <w:tcPr>
            <w:tcW w:w="3080" w:type="dxa"/>
            <w:tcBorders>
              <w:bottom w:val="single" w:sz="4" w:space="0" w:color="000000"/>
            </w:tcBorders>
            <w:shd w:val="clear" w:color="auto" w:fill="FFFFFF"/>
          </w:tcPr>
          <w:p w14:paraId="3F5E4BA5"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[Key Subcontractor]</w:t>
            </w:r>
          </w:p>
        </w:tc>
        <w:tc>
          <w:tcPr>
            <w:tcW w:w="3081" w:type="dxa"/>
            <w:tcBorders>
              <w:bottom w:val="single" w:sz="4" w:space="0" w:color="000000"/>
            </w:tcBorders>
            <w:shd w:val="clear" w:color="auto" w:fill="FFFFFF"/>
          </w:tcPr>
          <w:p w14:paraId="1F88D315" w14:textId="77777777" w:rsidR="000353B1" w:rsidRDefault="000353B1">
            <w:pPr>
              <w:keepNext/>
              <w:spacing w:before="240" w:after="120"/>
              <w:ind w:left="142"/>
              <w:jc w:val="left"/>
              <w:rPr>
                <w:rFonts w:ascii="Arial" w:eastAsia="Arial" w:hAnsi="Arial"/>
                <w:strike/>
                <w:sz w:val="24"/>
                <w:szCs w:val="24"/>
              </w:rPr>
            </w:pPr>
          </w:p>
        </w:tc>
      </w:tr>
    </w:tbl>
    <w:p w14:paraId="00315B79" w14:textId="77777777" w:rsidR="000353B1" w:rsidRDefault="000353B1">
      <w:pPr>
        <w:spacing w:after="0"/>
        <w:rPr>
          <w:rFonts w:ascii="Arial" w:eastAsia="Arial" w:hAnsi="Arial"/>
          <w:sz w:val="24"/>
          <w:szCs w:val="24"/>
        </w:rPr>
      </w:pPr>
    </w:p>
    <w:p w14:paraId="008EDA52" w14:textId="77777777" w:rsidR="000353B1" w:rsidRDefault="000353B1">
      <w:pPr>
        <w:spacing w:after="0"/>
        <w:rPr>
          <w:rFonts w:ascii="Arial" w:eastAsia="Arial" w:hAnsi="Arial"/>
          <w:sz w:val="24"/>
          <w:szCs w:val="24"/>
        </w:rPr>
      </w:pPr>
    </w:p>
    <w:p w14:paraId="035A3976" w14:textId="77777777" w:rsidR="000353B1" w:rsidRDefault="000353B1">
      <w:pPr>
        <w:spacing w:after="0"/>
        <w:rPr>
          <w:rFonts w:ascii="Arial" w:eastAsia="Arial" w:hAnsi="Arial"/>
          <w:sz w:val="24"/>
          <w:szCs w:val="24"/>
        </w:rPr>
      </w:pPr>
    </w:p>
    <w:p w14:paraId="375B1229" w14:textId="77777777" w:rsidR="000353B1" w:rsidRDefault="000353B1">
      <w:pPr>
        <w:spacing w:after="0"/>
        <w:rPr>
          <w:rFonts w:ascii="Roboto" w:eastAsia="Roboto" w:hAnsi="Roboto" w:cs="Roboto"/>
          <w:color w:val="202124"/>
          <w:sz w:val="21"/>
          <w:szCs w:val="21"/>
        </w:rPr>
      </w:pPr>
    </w:p>
    <w:p w14:paraId="3BD48716" w14:textId="77777777" w:rsidR="000353B1" w:rsidRDefault="000353B1">
      <w:pPr>
        <w:spacing w:after="0"/>
        <w:rPr>
          <w:rFonts w:ascii="Roboto" w:eastAsia="Roboto" w:hAnsi="Roboto" w:cs="Roboto"/>
          <w:color w:val="202124"/>
          <w:sz w:val="21"/>
          <w:szCs w:val="21"/>
        </w:rPr>
      </w:pPr>
    </w:p>
    <w:p w14:paraId="634F28D0" w14:textId="77777777" w:rsidR="000353B1" w:rsidRDefault="000353B1">
      <w:pPr>
        <w:spacing w:after="200" w:line="276" w:lineRule="auto"/>
        <w:jc w:val="left"/>
        <w:rPr>
          <w:rFonts w:ascii="Arial" w:eastAsia="Arial" w:hAnsi="Arial"/>
          <w:sz w:val="24"/>
          <w:szCs w:val="24"/>
        </w:rPr>
      </w:pPr>
    </w:p>
    <w:sectPr w:rsidR="000353B1">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F0BD7" w14:textId="77777777" w:rsidR="006B51B8" w:rsidRDefault="006B51B8">
      <w:pPr>
        <w:spacing w:after="0"/>
      </w:pPr>
      <w:r>
        <w:separator/>
      </w:r>
    </w:p>
  </w:endnote>
  <w:endnote w:type="continuationSeparator" w:id="0">
    <w:p w14:paraId="7B4C5060" w14:textId="77777777" w:rsidR="006B51B8" w:rsidRDefault="006B51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5C5FD" w14:textId="77777777" w:rsidR="000353B1" w:rsidRDefault="00B84A77">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r>
      <w:rPr>
        <w:rFonts w:ascii="Arial" w:eastAsia="Arial" w:hAnsi="Arial"/>
        <w:sz w:val="20"/>
        <w:szCs w:val="20"/>
      </w:rPr>
      <w:tab/>
      <w:t xml:space="preserve">                                           </w:t>
    </w:r>
  </w:p>
  <w:p w14:paraId="1F595401" w14:textId="77777777" w:rsidR="000353B1" w:rsidRDefault="00B84A77">
    <w:pPr>
      <w:pBdr>
        <w:top w:val="nil"/>
        <w:left w:val="nil"/>
        <w:bottom w:val="nil"/>
        <w:right w:val="nil"/>
        <w:between w:val="nil"/>
      </w:pBdr>
      <w:tabs>
        <w:tab w:val="center" w:pos="4513"/>
        <w:tab w:val="right" w:pos="9026"/>
      </w:tabs>
      <w:spacing w:after="0" w:line="276" w:lineRule="auto"/>
      <w:rPr>
        <w:rFonts w:ascii="Arial" w:eastAsia="Arial" w:hAnsi="Arial"/>
        <w:color w:val="000000"/>
        <w:sz w:val="20"/>
        <w:szCs w:val="20"/>
      </w:rPr>
    </w:pPr>
    <w:r>
      <w:rPr>
        <w:rFonts w:ascii="Arial" w:eastAsia="Arial" w:hAnsi="Arial"/>
        <w:color w:val="000000"/>
        <w:sz w:val="20"/>
        <w:szCs w:val="20"/>
      </w:rPr>
      <w:t>Project Version: v2.0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F37AB">
      <w:rPr>
        <w:rFonts w:ascii="Arial" w:eastAsia="Arial" w:hAnsi="Arial"/>
        <w:noProof/>
        <w:color w:val="000000"/>
        <w:sz w:val="20"/>
        <w:szCs w:val="20"/>
      </w:rPr>
      <w:t>1</w:t>
    </w:r>
    <w:r>
      <w:rPr>
        <w:rFonts w:ascii="Arial" w:eastAsia="Arial" w:hAnsi="Arial"/>
        <w:color w:val="000000"/>
        <w:sz w:val="20"/>
        <w:szCs w:val="20"/>
      </w:rPr>
      <w:fldChar w:fldCharType="end"/>
    </w:r>
  </w:p>
  <w:p w14:paraId="40F85CB7" w14:textId="77777777" w:rsidR="000353B1" w:rsidRDefault="00B84A77">
    <w:pPr>
      <w:spacing w:after="0" w:line="276" w:lineRule="auto"/>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C152" w14:textId="77777777" w:rsidR="000353B1" w:rsidRDefault="00B84A77">
    <w:pPr>
      <w:tabs>
        <w:tab w:val="center" w:pos="4513"/>
        <w:tab w:val="right" w:pos="9026"/>
      </w:tabs>
      <w:spacing w:after="0"/>
      <w:rPr>
        <w:color w:val="BFBFBF"/>
      </w:rPr>
    </w:pPr>
    <w:r>
      <w:rPr>
        <w:color w:val="BFBFBF"/>
      </w:rPr>
      <w:t>Framework Ref: RM</w:t>
    </w:r>
    <w:r>
      <w:rPr>
        <w:color w:val="BFBFBF"/>
      </w:rPr>
      <w:tab/>
      <w:t xml:space="preserve">                                           </w:t>
    </w:r>
  </w:p>
  <w:p w14:paraId="5F1355C2" w14:textId="77777777" w:rsidR="000353B1" w:rsidRDefault="00B84A7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3CDCDC5" w14:textId="77777777" w:rsidR="000353B1" w:rsidRDefault="00B84A77">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35ABC" w14:textId="77777777" w:rsidR="006B51B8" w:rsidRDefault="006B51B8">
      <w:pPr>
        <w:spacing w:after="0"/>
      </w:pPr>
      <w:r>
        <w:separator/>
      </w:r>
    </w:p>
  </w:footnote>
  <w:footnote w:type="continuationSeparator" w:id="0">
    <w:p w14:paraId="0444FD15" w14:textId="77777777" w:rsidR="006B51B8" w:rsidRDefault="006B51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07AB2" w14:textId="77777777" w:rsidR="000353B1" w:rsidRDefault="00B84A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4ECFDAAD" w14:textId="77777777" w:rsidR="000353B1" w:rsidRDefault="00B84A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06ECC"/>
    <w:multiLevelType w:val="multilevel"/>
    <w:tmpl w:val="A46E9B6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1CE3C04"/>
    <w:multiLevelType w:val="multilevel"/>
    <w:tmpl w:val="409C048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4AF42D3D"/>
    <w:multiLevelType w:val="multilevel"/>
    <w:tmpl w:val="95B485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357"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CB86184"/>
    <w:multiLevelType w:val="multilevel"/>
    <w:tmpl w:val="B0E6F264"/>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DE33D73"/>
    <w:multiLevelType w:val="multilevel"/>
    <w:tmpl w:val="53C8A45A"/>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936712581">
    <w:abstractNumId w:val="0"/>
  </w:num>
  <w:num w:numId="2" w16cid:durableId="698237296">
    <w:abstractNumId w:val="2"/>
  </w:num>
  <w:num w:numId="3" w16cid:durableId="566258227">
    <w:abstractNumId w:val="1"/>
  </w:num>
  <w:num w:numId="4" w16cid:durableId="1782143862">
    <w:abstractNumId w:val="4"/>
  </w:num>
  <w:num w:numId="5" w16cid:durableId="21311253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3B1"/>
    <w:rsid w:val="000353B1"/>
    <w:rsid w:val="000703F2"/>
    <w:rsid w:val="000D17B8"/>
    <w:rsid w:val="000D19D9"/>
    <w:rsid w:val="000D2FBA"/>
    <w:rsid w:val="002F37AB"/>
    <w:rsid w:val="0032625F"/>
    <w:rsid w:val="003A2372"/>
    <w:rsid w:val="004532A0"/>
    <w:rsid w:val="00507E78"/>
    <w:rsid w:val="00586C1B"/>
    <w:rsid w:val="0065395B"/>
    <w:rsid w:val="006B51B8"/>
    <w:rsid w:val="007415C7"/>
    <w:rsid w:val="00792A90"/>
    <w:rsid w:val="00807CC6"/>
    <w:rsid w:val="00872AD1"/>
    <w:rsid w:val="00936212"/>
    <w:rsid w:val="00A87EA5"/>
    <w:rsid w:val="00AD087B"/>
    <w:rsid w:val="00B7224D"/>
    <w:rsid w:val="00B84A77"/>
    <w:rsid w:val="00C50FE1"/>
    <w:rsid w:val="00DC22A1"/>
    <w:rsid w:val="00FF5C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9910B"/>
  <w15:docId w15:val="{0DAEC896-D5EA-4F47-849C-3B3A9B45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 w:type="table" w:customStyle="1" w:styleId="ae">
    <w:basedOn w:val="TableNormal"/>
    <w:pPr>
      <w:spacing w:after="0"/>
    </w:pPr>
    <w:rPr>
      <w:sz w:val="20"/>
      <w:szCs w:val="20"/>
    </w:rPr>
    <w:tblPr>
      <w:tblStyleRowBandSize w:val="1"/>
      <w:tblStyleColBandSize w:val="1"/>
      <w:tblCellMar>
        <w:left w:w="115" w:type="dxa"/>
        <w:right w:w="115" w:type="dxa"/>
      </w:tblCellMar>
    </w:tblPr>
  </w:style>
  <w:style w:type="table" w:customStyle="1" w:styleId="af">
    <w:basedOn w:val="TableNormal"/>
    <w:pPr>
      <w:spacing w:after="0"/>
    </w:pPr>
    <w:rPr>
      <w:sz w:val="20"/>
      <w:szCs w:val="20"/>
    </w:rPr>
    <w:tblPr>
      <w:tblStyleRowBandSize w:val="1"/>
      <w:tblStyleColBandSize w:val="1"/>
      <w:tblCellMar>
        <w:left w:w="115" w:type="dxa"/>
        <w:right w:w="115" w:type="dxa"/>
      </w:tblCellMar>
    </w:tblPr>
  </w:style>
  <w:style w:type="table" w:customStyle="1" w:styleId="af0">
    <w:basedOn w:val="TableNormal"/>
    <w:pPr>
      <w:spacing w:after="0"/>
    </w:pPr>
    <w:rPr>
      <w:sz w:val="20"/>
      <w:szCs w:val="20"/>
    </w:rPr>
    <w:tblPr>
      <w:tblStyleRowBandSize w:val="1"/>
      <w:tblStyleColBandSize w:val="1"/>
      <w:tblCellMar>
        <w:left w:w="115" w:type="dxa"/>
        <w:right w:w="115" w:type="dxa"/>
      </w:tblCellMar>
    </w:tblPr>
  </w:style>
  <w:style w:type="table" w:customStyle="1" w:styleId="af1">
    <w:basedOn w:val="TableNormal"/>
    <w:pPr>
      <w:spacing w:after="0"/>
    </w:pPr>
    <w:rPr>
      <w:sz w:val="20"/>
      <w:szCs w:val="20"/>
    </w:rPr>
    <w:tblPr>
      <w:tblStyleRowBandSize w:val="1"/>
      <w:tblStyleColBandSize w:val="1"/>
      <w:tblCellMar>
        <w:left w:w="115" w:type="dxa"/>
        <w:right w:w="115" w:type="dxa"/>
      </w:tblCellMar>
    </w:tblPr>
  </w:style>
  <w:style w:type="table" w:customStyle="1" w:styleId="af2">
    <w:basedOn w:val="TableNormal"/>
    <w:pPr>
      <w:spacing w:after="0"/>
    </w:pPr>
    <w:rPr>
      <w:sz w:val="20"/>
      <w:szCs w:val="20"/>
    </w:rPr>
    <w:tblPr>
      <w:tblStyleRowBandSize w:val="1"/>
      <w:tblStyleColBandSize w:val="1"/>
      <w:tblCellMar>
        <w:left w:w="115" w:type="dxa"/>
        <w:right w:w="115" w:type="dxa"/>
      </w:tblCellMar>
    </w:tblPr>
  </w:style>
  <w:style w:type="table" w:customStyle="1" w:styleId="af3">
    <w:basedOn w:val="TableNormal"/>
    <w:pPr>
      <w:spacing w:after="0"/>
    </w:pPr>
    <w:rPr>
      <w:sz w:val="20"/>
      <w:szCs w:val="20"/>
    </w:rPr>
    <w:tblPr>
      <w:tblStyleRowBandSize w:val="1"/>
      <w:tblStyleColBandSize w:val="1"/>
      <w:tblCellMar>
        <w:left w:w="115" w:type="dxa"/>
        <w:right w:w="115" w:type="dxa"/>
      </w:tblCellMar>
    </w:tblPr>
  </w:style>
  <w:style w:type="table" w:customStyle="1" w:styleId="af4">
    <w:basedOn w:val="TableNormal"/>
    <w:pPr>
      <w:spacing w:after="0"/>
    </w:pPr>
    <w:rPr>
      <w:sz w:val="20"/>
      <w:szCs w:val="20"/>
    </w:rPr>
    <w:tblPr>
      <w:tblStyleRowBandSize w:val="1"/>
      <w:tblStyleColBandSize w:val="1"/>
      <w:tblCellMar>
        <w:left w:w="115" w:type="dxa"/>
        <w:right w:w="115" w:type="dxa"/>
      </w:tblCellMar>
    </w:tblPr>
  </w:style>
  <w:style w:type="table" w:customStyle="1" w:styleId="af5">
    <w:basedOn w:val="TableNormal"/>
    <w:pPr>
      <w:spacing w:after="0"/>
    </w:pPr>
    <w:rPr>
      <w:sz w:val="20"/>
      <w:szCs w:val="20"/>
    </w:rPr>
    <w:tblPr>
      <w:tblStyleRowBandSize w:val="1"/>
      <w:tblStyleColBandSize w:val="1"/>
      <w:tblCellMar>
        <w:left w:w="115" w:type="dxa"/>
        <w:right w:w="115" w:type="dxa"/>
      </w:tblCellMar>
    </w:tblPr>
  </w:style>
  <w:style w:type="table" w:customStyle="1" w:styleId="af6">
    <w:basedOn w:val="TableNormal"/>
    <w:pPr>
      <w:spacing w:after="0"/>
    </w:pPr>
    <w:rPr>
      <w:sz w:val="20"/>
      <w:szCs w:val="20"/>
    </w:rPr>
    <w:tblPr>
      <w:tblStyleRowBandSize w:val="1"/>
      <w:tblStyleColBandSize w:val="1"/>
      <w:tblCellMar>
        <w:left w:w="115" w:type="dxa"/>
        <w:right w:w="115" w:type="dxa"/>
      </w:tblCellMar>
    </w:tblPr>
  </w:style>
  <w:style w:type="table" w:customStyle="1" w:styleId="af7">
    <w:basedOn w:val="TableNormal"/>
    <w:pPr>
      <w:spacing w:after="0"/>
    </w:pPr>
    <w:rPr>
      <w:sz w:val="20"/>
      <w:szCs w:val="20"/>
    </w:rPr>
    <w:tblPr>
      <w:tblStyleRowBandSize w:val="1"/>
      <w:tblStyleColBandSize w:val="1"/>
      <w:tblCellMar>
        <w:left w:w="115" w:type="dxa"/>
        <w:right w:w="115" w:type="dxa"/>
      </w:tblCellMar>
    </w:tblPr>
  </w:style>
  <w:style w:type="table" w:customStyle="1" w:styleId="af8">
    <w:basedOn w:val="TableNormal"/>
    <w:pPr>
      <w:spacing w:after="0"/>
    </w:pPr>
    <w:rPr>
      <w:sz w:val="20"/>
      <w:szCs w:val="20"/>
    </w:rPr>
    <w:tblPr>
      <w:tblStyleRowBandSize w:val="1"/>
      <w:tblStyleColBandSize w:val="1"/>
      <w:tblCellMar>
        <w:left w:w="115" w:type="dxa"/>
        <w:right w:w="115" w:type="dxa"/>
      </w:tblCellMar>
    </w:tblPr>
  </w:style>
  <w:style w:type="table" w:customStyle="1" w:styleId="af9">
    <w:basedOn w:val="TableNormal"/>
    <w:pPr>
      <w:spacing w:after="0"/>
    </w:pPr>
    <w:rPr>
      <w:sz w:val="20"/>
      <w:szCs w:val="20"/>
    </w:rPr>
    <w:tblPr>
      <w:tblStyleRowBandSize w:val="1"/>
      <w:tblStyleColBandSize w:val="1"/>
      <w:tblCellMar>
        <w:left w:w="115" w:type="dxa"/>
        <w:right w:w="115" w:type="dxa"/>
      </w:tblCellMar>
    </w:tblPr>
  </w:style>
  <w:style w:type="table" w:customStyle="1" w:styleId="afa">
    <w:basedOn w:val="TableNormal"/>
    <w:pPr>
      <w:spacing w:after="0"/>
    </w:pPr>
    <w:rPr>
      <w:sz w:val="20"/>
      <w:szCs w:val="20"/>
    </w:rPr>
    <w:tblPr>
      <w:tblStyleRowBandSize w:val="1"/>
      <w:tblStyleColBandSize w:val="1"/>
      <w:tblCellMar>
        <w:left w:w="115" w:type="dxa"/>
        <w:right w:w="115" w:type="dxa"/>
      </w:tblCellMar>
    </w:tblPr>
  </w:style>
  <w:style w:type="table" w:customStyle="1" w:styleId="afb">
    <w:basedOn w:val="TableNormal"/>
    <w:pPr>
      <w:spacing w:after="0"/>
    </w:pPr>
    <w:rPr>
      <w:sz w:val="20"/>
      <w:szCs w:val="20"/>
    </w:rPr>
    <w:tblPr>
      <w:tblStyleRowBandSize w:val="1"/>
      <w:tblStyleColBandSize w:val="1"/>
      <w:tblCellMar>
        <w:left w:w="115" w:type="dxa"/>
        <w:right w:w="115" w:type="dxa"/>
      </w:tblCellMar>
    </w:tblPr>
  </w:style>
  <w:style w:type="table" w:customStyle="1" w:styleId="afc">
    <w:basedOn w:val="TableNormal"/>
    <w:pPr>
      <w:spacing w:after="0"/>
    </w:pPr>
    <w:rPr>
      <w:sz w:val="20"/>
      <w:szCs w:val="20"/>
    </w:rPr>
    <w:tblPr>
      <w:tblStyleRowBandSize w:val="1"/>
      <w:tblStyleColBandSize w:val="1"/>
      <w:tblCellMar>
        <w:left w:w="115" w:type="dxa"/>
        <w:right w:w="115" w:type="dxa"/>
      </w:tblCellMar>
    </w:tblPr>
  </w:style>
  <w:style w:type="table" w:customStyle="1" w:styleId="afd">
    <w:basedOn w:val="TableNormal"/>
    <w:pPr>
      <w:spacing w:after="0"/>
    </w:pPr>
    <w:rPr>
      <w:sz w:val="20"/>
      <w:szCs w:val="20"/>
    </w:rPr>
    <w:tblPr>
      <w:tblStyleRowBandSize w:val="1"/>
      <w:tblStyleColBandSize w:val="1"/>
      <w:tblCellMar>
        <w:left w:w="115" w:type="dxa"/>
        <w:right w:w="115" w:type="dxa"/>
      </w:tblCellMar>
    </w:tblPr>
  </w:style>
  <w:style w:type="table" w:customStyle="1" w:styleId="afe">
    <w:basedOn w:val="TableNormal"/>
    <w:pPr>
      <w:spacing w:after="0"/>
    </w:pPr>
    <w:rPr>
      <w:sz w:val="20"/>
      <w:szCs w:val="20"/>
    </w:rPr>
    <w:tblPr>
      <w:tblStyleRowBandSize w:val="1"/>
      <w:tblStyleColBandSize w:val="1"/>
      <w:tblCellMar>
        <w:left w:w="115" w:type="dxa"/>
        <w:right w:w="115" w:type="dxa"/>
      </w:tblCellMar>
    </w:tblPr>
  </w:style>
  <w:style w:type="table" w:customStyle="1" w:styleId="aff">
    <w:basedOn w:val="TableNormal"/>
    <w:pPr>
      <w:spacing w:after="0"/>
    </w:pPr>
    <w:rPr>
      <w:sz w:val="20"/>
      <w:szCs w:val="20"/>
    </w:rPr>
    <w:tblPr>
      <w:tblStyleRowBandSize w:val="1"/>
      <w:tblStyleColBandSize w:val="1"/>
      <w:tblCellMar>
        <w:left w:w="115" w:type="dxa"/>
        <w:right w:w="115" w:type="dxa"/>
      </w:tblCellMar>
    </w:tblPr>
  </w:style>
  <w:style w:type="table" w:customStyle="1" w:styleId="aff0">
    <w:basedOn w:val="TableNormal"/>
    <w:pPr>
      <w:spacing w:after="0"/>
    </w:pPr>
    <w:rPr>
      <w:sz w:val="20"/>
      <w:szCs w:val="20"/>
    </w:rPr>
    <w:tblPr>
      <w:tblStyleRowBandSize w:val="1"/>
      <w:tblStyleColBandSize w:val="1"/>
      <w:tblCellMar>
        <w:left w:w="115" w:type="dxa"/>
        <w:right w:w="115" w:type="dxa"/>
      </w:tblCellMar>
    </w:tblPr>
  </w:style>
  <w:style w:type="table" w:customStyle="1" w:styleId="aff1">
    <w:basedOn w:val="TableNormal"/>
    <w:pPr>
      <w:spacing w:after="0"/>
    </w:pPr>
    <w:rPr>
      <w:sz w:val="20"/>
      <w:szCs w:val="20"/>
    </w:rPr>
    <w:tblPr>
      <w:tblStyleRowBandSize w:val="1"/>
      <w:tblStyleColBandSize w:val="1"/>
      <w:tblCellMar>
        <w:left w:w="115" w:type="dxa"/>
        <w:right w:w="115" w:type="dxa"/>
      </w:tblCellMar>
    </w:tblPr>
  </w:style>
  <w:style w:type="table" w:customStyle="1" w:styleId="aff2">
    <w:basedOn w:val="TableNormal"/>
    <w:pPr>
      <w:spacing w:after="0"/>
    </w:pPr>
    <w:rPr>
      <w:sz w:val="20"/>
      <w:szCs w:val="20"/>
    </w:rPr>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pPr>
      <w:spacing w:after="0"/>
    </w:pPr>
    <w:rPr>
      <w:sz w:val="20"/>
      <w:szCs w:val="20"/>
    </w:rPr>
    <w:tblPr>
      <w:tblStyleRowBandSize w:val="1"/>
      <w:tblStyleColBandSize w:val="1"/>
      <w:tblCellMar>
        <w:left w:w="115" w:type="dxa"/>
        <w:right w:w="115" w:type="dxa"/>
      </w:tblCellMar>
    </w:tblPr>
  </w:style>
  <w:style w:type="table" w:customStyle="1" w:styleId="aff5">
    <w:basedOn w:val="TableNormal"/>
    <w:pPr>
      <w:spacing w:after="0"/>
    </w:pPr>
    <w:rPr>
      <w:sz w:val="20"/>
      <w:szCs w:val="20"/>
    </w:rPr>
    <w:tblPr>
      <w:tblStyleRowBandSize w:val="1"/>
      <w:tblStyleColBandSize w:val="1"/>
      <w:tblCellMar>
        <w:left w:w="115" w:type="dxa"/>
        <w:right w:w="115" w:type="dxa"/>
      </w:tblCellMar>
    </w:tblPr>
  </w:style>
  <w:style w:type="table" w:customStyle="1" w:styleId="aff6">
    <w:basedOn w:val="TableNormal"/>
    <w:pPr>
      <w:spacing w:after="0"/>
    </w:pPr>
    <w:rPr>
      <w:sz w:val="20"/>
      <w:szCs w:val="20"/>
    </w:rPr>
    <w:tblPr>
      <w:tblStyleRowBandSize w:val="1"/>
      <w:tblStyleColBandSize w:val="1"/>
      <w:tblCellMar>
        <w:left w:w="115" w:type="dxa"/>
        <w:right w:w="115" w:type="dxa"/>
      </w:tblCellMar>
    </w:tblPr>
  </w:style>
  <w:style w:type="table" w:customStyle="1" w:styleId="aff7">
    <w:basedOn w:val="TableNormal"/>
    <w:pPr>
      <w:spacing w:after="0"/>
    </w:pPr>
    <w:rPr>
      <w:sz w:val="20"/>
      <w:szCs w:val="20"/>
    </w:rPr>
    <w:tblPr>
      <w:tblStyleRowBandSize w:val="1"/>
      <w:tblStyleColBandSize w:val="1"/>
      <w:tblCellMar>
        <w:left w:w="115" w:type="dxa"/>
        <w:right w:w="115" w:type="dxa"/>
      </w:tblCellMar>
    </w:tblPr>
  </w:style>
  <w:style w:type="table" w:customStyle="1" w:styleId="aff8">
    <w:basedOn w:val="TableNormal"/>
    <w:pPr>
      <w:spacing w:after="0"/>
    </w:pPr>
    <w:rPr>
      <w:sz w:val="20"/>
      <w:szCs w:val="20"/>
    </w:rPr>
    <w:tblPr>
      <w:tblStyleRowBandSize w:val="1"/>
      <w:tblStyleColBandSize w:val="1"/>
      <w:tblCellMar>
        <w:left w:w="115" w:type="dxa"/>
        <w:right w:w="115" w:type="dxa"/>
      </w:tblCellMar>
    </w:tblPr>
  </w:style>
  <w:style w:type="table" w:customStyle="1" w:styleId="aff9">
    <w:basedOn w:val="TableNormal"/>
    <w:pPr>
      <w:spacing w:after="0"/>
    </w:pPr>
    <w:rPr>
      <w:sz w:val="20"/>
      <w:szCs w:val="20"/>
    </w:rPr>
    <w:tblPr>
      <w:tblStyleRowBandSize w:val="1"/>
      <w:tblStyleColBandSize w:val="1"/>
      <w:tblCellMar>
        <w:left w:w="115" w:type="dxa"/>
        <w:right w:w="115" w:type="dxa"/>
      </w:tblCellMar>
    </w:tblPr>
  </w:style>
  <w:style w:type="table" w:customStyle="1" w:styleId="affa">
    <w:basedOn w:val="TableNormal"/>
    <w:pPr>
      <w:spacing w:after="0"/>
    </w:pPr>
    <w:rPr>
      <w:sz w:val="20"/>
      <w:szCs w:val="20"/>
    </w:rPr>
    <w:tblPr>
      <w:tblStyleRowBandSize w:val="1"/>
      <w:tblStyleColBandSize w:val="1"/>
      <w:tblCellMar>
        <w:left w:w="115" w:type="dxa"/>
        <w:right w:w="115" w:type="dxa"/>
      </w:tblCellMar>
    </w:tblPr>
  </w:style>
  <w:style w:type="table" w:customStyle="1" w:styleId="affb">
    <w:basedOn w:val="TableNormal"/>
    <w:pPr>
      <w:spacing w:after="0"/>
    </w:pPr>
    <w:rPr>
      <w:sz w:val="20"/>
      <w:szCs w:val="20"/>
    </w:rPr>
    <w:tblPr>
      <w:tblStyleRowBandSize w:val="1"/>
      <w:tblStyleColBandSize w:val="1"/>
      <w:tblCellMar>
        <w:left w:w="115" w:type="dxa"/>
        <w:right w:w="115" w:type="dxa"/>
      </w:tblCellMar>
    </w:tblPr>
  </w:style>
  <w:style w:type="table" w:customStyle="1" w:styleId="affc">
    <w:basedOn w:val="TableNormal"/>
    <w:pPr>
      <w:spacing w:after="0"/>
    </w:pPr>
    <w:rPr>
      <w:sz w:val="20"/>
      <w:szCs w:val="20"/>
    </w:rPr>
    <w:tblPr>
      <w:tblStyleRowBandSize w:val="1"/>
      <w:tblStyleColBandSize w:val="1"/>
      <w:tblCellMar>
        <w:left w:w="115" w:type="dxa"/>
        <w:right w:w="115" w:type="dxa"/>
      </w:tblCellMar>
    </w:tblPr>
  </w:style>
  <w:style w:type="table" w:customStyle="1" w:styleId="affd">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owWieCvN6l8GcesOA0W2s5zuwQ==">CgMxLjAyCWguM283YWxuazIJaC4xa3N2NHV2MghoLmdqZGd4czIJaC4zMGowemxsMgloLjFmb2I5dGUyDWgudmgxbHRsdTVhNWIyCWguM3pueXNoNzIJaC4yZXQ5MnAwMghoLnR5amN3dDIJaC4zZHk2dmttMgloLjF0M2g1c2YyCWguNGQzNG9nODIJaC4yczhleW8xMgloLjE3ZHA4dnUyCWguM3JkY3JqbjIJaC4yNmluMXJnMghoLmxueGJ6OTIJaC4zNW5rdW4yMgloLjQ0c2luaW8yCWguMmp4c3hxaDIIaC56MzM3eWEyCWguM2oycXFtMzIJaC4xeTgxMHR3MgloLjRpN29qaHAyCWguMnhjeXRwaTIJaC4xY2k5M3hiMgloLjN3aHdtbDQyCWguMmJuNndzeDIIaC5xc2g3MHEyCWguM2FzNHBvajIJaC4xcHhlendjMgloLjQ5eDJpazUyCWguMnAyY3NyeTIJaC4xNDduMnpyOAByITF0UmQtaERVX192UUNvTFdUUGFaMVJNZmNFdHVzR3NPS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DEA3B79-E298-4CBA-8F94-10B9293124C9}"/>
</file>

<file path=customXml/itemProps3.xml><?xml version="1.0" encoding="utf-8"?>
<ds:datastoreItem xmlns:ds="http://schemas.openxmlformats.org/officeDocument/2006/customXml" ds:itemID="{EC5B823B-80FE-406D-A469-5F2FE87DEA0C}"/>
</file>

<file path=customXml/itemProps4.xml><?xml version="1.0" encoding="utf-8"?>
<ds:datastoreItem xmlns:ds="http://schemas.openxmlformats.org/officeDocument/2006/customXml" ds:itemID="{2AAD7984-D3CB-4351-86C5-26B2EBB6EEF8}"/>
</file>

<file path=docProps/app.xml><?xml version="1.0" encoding="utf-8"?>
<Properties xmlns="http://schemas.openxmlformats.org/officeDocument/2006/extended-properties" xmlns:vt="http://schemas.openxmlformats.org/officeDocument/2006/docPropsVTypes">
  <Template>Normal</Template>
  <TotalTime>2</TotalTime>
  <Pages>27</Pages>
  <Words>6957</Words>
  <Characters>36912</Characters>
  <Application>Microsoft Office Word</Application>
  <DocSecurity>0</DocSecurity>
  <Lines>1031</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Richard Hamflett</cp:lastModifiedBy>
  <cp:revision>5</cp:revision>
  <dcterms:created xsi:type="dcterms:W3CDTF">2025-03-26T12:38:00Z</dcterms:created>
  <dcterms:modified xsi:type="dcterms:W3CDTF">2026-01-15T08:36:00Z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4562</vt:i4>
  </property>
  <property fmtid="{D5CDD505-2E9C-101B-9397-08002B2CF9AE}" pid="8" name="FILEID">
    <vt:i4>334361</vt:i4>
  </property>
  <property fmtid="{D5CDD505-2E9C-101B-9397-08002B2CF9AE}" pid="9" name="ASSOCID">
    <vt:i4>1426203</vt:i4>
  </property>
  <property fmtid="{D5CDD505-2E9C-101B-9397-08002B2CF9AE}" pid="10" name="ContentTypeId">
    <vt:lpwstr>0x010100A5BF1C78D9F64B679A5EBDE1C6598EBC0100CC42F60AA7789749A5588C8BDD2261FE</vt:lpwstr>
  </property>
</Properties>
</file>